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6A9F04" w14:textId="77777777" w:rsidR="00926184" w:rsidRDefault="00926184">
      <w:pPr>
        <w:pBdr>
          <w:top w:val="nil"/>
          <w:left w:val="nil"/>
          <w:bottom w:val="nil"/>
          <w:right w:val="nil"/>
          <w:between w:val="nil"/>
        </w:pBdr>
        <w:tabs>
          <w:tab w:val="left" w:pos="62"/>
        </w:tabs>
        <w:spacing w:after="0" w:line="440" w:lineRule="auto"/>
        <w:jc w:val="both"/>
        <w:rPr>
          <w:sz w:val="40"/>
          <w:szCs w:val="40"/>
        </w:rPr>
      </w:pPr>
    </w:p>
    <w:p w14:paraId="30635191" w14:textId="77777777" w:rsidR="00926184" w:rsidRDefault="00955C53">
      <w:pPr>
        <w:pBdr>
          <w:top w:val="nil"/>
          <w:left w:val="nil"/>
          <w:bottom w:val="nil"/>
          <w:right w:val="nil"/>
          <w:between w:val="nil"/>
        </w:pBdr>
        <w:tabs>
          <w:tab w:val="left" w:pos="62"/>
        </w:tabs>
        <w:spacing w:after="0"/>
        <w:ind w:left="1455"/>
        <w:jc w:val="both"/>
      </w:pPr>
      <w:r>
        <w:rPr>
          <w:sz w:val="40"/>
          <w:szCs w:val="40"/>
        </w:rPr>
        <w:t>Nota de prensa</w:t>
      </w:r>
    </w:p>
    <w:tbl>
      <w:tblPr>
        <w:tblStyle w:val="af"/>
        <w:tblpPr w:leftFromText="187" w:rightFromText="187" w:vertAnchor="page" w:horzAnchor="page" w:tblpX="1289" w:tblpY="4153"/>
        <w:tblW w:w="205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055"/>
      </w:tblGrid>
      <w:tr w:rsidR="00926184" w14:paraId="57E31CF6" w14:textId="77777777">
        <w:trPr>
          <w:cantSplit/>
          <w:trHeight w:val="1792"/>
        </w:trPr>
        <w:tc>
          <w:tcPr>
            <w:tcW w:w="2055" w:type="dxa"/>
          </w:tcPr>
          <w:p w14:paraId="6D3CFDD7" w14:textId="77777777" w:rsidR="00926184" w:rsidRDefault="00926184">
            <w:pPr>
              <w:pBdr>
                <w:top w:val="nil"/>
                <w:left w:val="nil"/>
                <w:bottom w:val="nil"/>
                <w:right w:val="nil"/>
                <w:between w:val="nil"/>
              </w:pBdr>
              <w:ind w:left="720"/>
              <w:jc w:val="both"/>
              <w:rPr>
                <w:sz w:val="14"/>
                <w:szCs w:val="14"/>
              </w:rPr>
            </w:pPr>
          </w:p>
        </w:tc>
      </w:tr>
      <w:tr w:rsidR="00926184" w14:paraId="6FC0E91C" w14:textId="77777777">
        <w:trPr>
          <w:cantSplit/>
          <w:trHeight w:val="251"/>
        </w:trPr>
        <w:tc>
          <w:tcPr>
            <w:tcW w:w="2055" w:type="dxa"/>
          </w:tcPr>
          <w:p w14:paraId="3EDAECF3" w14:textId="77777777" w:rsidR="00926184" w:rsidRDefault="00955C53">
            <w:pPr>
              <w:pBdr>
                <w:top w:val="nil"/>
                <w:left w:val="nil"/>
                <w:bottom w:val="nil"/>
                <w:right w:val="nil"/>
                <w:between w:val="nil"/>
              </w:pBdr>
              <w:jc w:val="both"/>
              <w:rPr>
                <w:sz w:val="14"/>
                <w:szCs w:val="14"/>
              </w:rPr>
            </w:pPr>
            <w:r>
              <w:rPr>
                <w:b/>
                <w:sz w:val="14"/>
                <w:szCs w:val="14"/>
              </w:rPr>
              <w:t>17 de diciembre de 2024</w:t>
            </w:r>
          </w:p>
        </w:tc>
      </w:tr>
      <w:tr w:rsidR="00926184" w14:paraId="7F64CE11" w14:textId="77777777">
        <w:trPr>
          <w:cantSplit/>
          <w:trHeight w:val="251"/>
        </w:trPr>
        <w:tc>
          <w:tcPr>
            <w:tcW w:w="2055" w:type="dxa"/>
          </w:tcPr>
          <w:p w14:paraId="56BBD846" w14:textId="77777777" w:rsidR="00926184" w:rsidRDefault="00926184">
            <w:pPr>
              <w:pBdr>
                <w:top w:val="nil"/>
                <w:left w:val="nil"/>
                <w:bottom w:val="nil"/>
                <w:right w:val="nil"/>
                <w:between w:val="nil"/>
              </w:pBdr>
              <w:jc w:val="both"/>
              <w:rPr>
                <w:sz w:val="14"/>
                <w:szCs w:val="14"/>
              </w:rPr>
            </w:pPr>
          </w:p>
        </w:tc>
      </w:tr>
      <w:tr w:rsidR="00926184" w14:paraId="286ABB3A" w14:textId="77777777">
        <w:trPr>
          <w:cantSplit/>
          <w:trHeight w:val="1515"/>
        </w:trPr>
        <w:tc>
          <w:tcPr>
            <w:tcW w:w="2055" w:type="dxa"/>
          </w:tcPr>
          <w:p w14:paraId="59425DCE" w14:textId="77777777" w:rsidR="00926184" w:rsidRDefault="00955C53">
            <w:pPr>
              <w:pBdr>
                <w:top w:val="nil"/>
                <w:left w:val="nil"/>
                <w:bottom w:val="nil"/>
                <w:right w:val="nil"/>
                <w:between w:val="nil"/>
              </w:pBdr>
              <w:jc w:val="both"/>
              <w:rPr>
                <w:sz w:val="13"/>
                <w:szCs w:val="13"/>
              </w:rPr>
            </w:pPr>
            <w:r>
              <w:rPr>
                <w:b/>
                <w:sz w:val="13"/>
                <w:szCs w:val="13"/>
              </w:rPr>
              <w:t>Lucía Viñas</w:t>
            </w:r>
          </w:p>
          <w:p w14:paraId="62159CF2" w14:textId="77777777" w:rsidR="00926184" w:rsidRDefault="00955C53">
            <w:pPr>
              <w:pBdr>
                <w:top w:val="nil"/>
                <w:left w:val="nil"/>
                <w:bottom w:val="nil"/>
                <w:right w:val="nil"/>
                <w:between w:val="nil"/>
              </w:pBdr>
              <w:jc w:val="both"/>
              <w:rPr>
                <w:sz w:val="13"/>
                <w:szCs w:val="13"/>
              </w:rPr>
            </w:pPr>
            <w:r>
              <w:rPr>
                <w:sz w:val="13"/>
                <w:szCs w:val="13"/>
              </w:rPr>
              <w:t>619 66 59 29</w:t>
            </w:r>
          </w:p>
          <w:p w14:paraId="7232EC71" w14:textId="77777777" w:rsidR="00926184" w:rsidRDefault="00955C53">
            <w:pPr>
              <w:pBdr>
                <w:top w:val="nil"/>
                <w:left w:val="nil"/>
                <w:bottom w:val="nil"/>
                <w:right w:val="nil"/>
                <w:between w:val="nil"/>
              </w:pBdr>
              <w:jc w:val="both"/>
              <w:rPr>
                <w:sz w:val="13"/>
                <w:szCs w:val="13"/>
              </w:rPr>
            </w:pPr>
            <w:r>
              <w:rPr>
                <w:color w:val="EA5B0C"/>
                <w:sz w:val="13"/>
                <w:szCs w:val="13"/>
                <w:u w:val="single"/>
              </w:rPr>
              <w:t>luciav@wegarage.es</w:t>
            </w:r>
          </w:p>
          <w:p w14:paraId="26A5A6E9" w14:textId="77777777" w:rsidR="00926184" w:rsidRDefault="00926184">
            <w:pPr>
              <w:pBdr>
                <w:top w:val="nil"/>
                <w:left w:val="nil"/>
                <w:bottom w:val="nil"/>
                <w:right w:val="nil"/>
                <w:between w:val="nil"/>
              </w:pBdr>
              <w:jc w:val="both"/>
              <w:rPr>
                <w:b/>
                <w:sz w:val="13"/>
                <w:szCs w:val="13"/>
              </w:rPr>
            </w:pPr>
          </w:p>
          <w:p w14:paraId="3C00F5DD" w14:textId="77777777" w:rsidR="00926184" w:rsidRDefault="00955C53">
            <w:pPr>
              <w:pBdr>
                <w:top w:val="nil"/>
                <w:left w:val="nil"/>
                <w:bottom w:val="nil"/>
                <w:right w:val="nil"/>
                <w:between w:val="nil"/>
              </w:pBdr>
              <w:jc w:val="both"/>
              <w:rPr>
                <w:sz w:val="13"/>
                <w:szCs w:val="13"/>
              </w:rPr>
            </w:pPr>
            <w:r>
              <w:rPr>
                <w:b/>
                <w:sz w:val="13"/>
                <w:szCs w:val="13"/>
              </w:rPr>
              <w:t>Lucía Pedraza</w:t>
            </w:r>
          </w:p>
          <w:p w14:paraId="0BE4E220" w14:textId="77777777" w:rsidR="00926184" w:rsidRDefault="00955C53">
            <w:pPr>
              <w:spacing w:line="240" w:lineRule="auto"/>
              <w:jc w:val="both"/>
              <w:rPr>
                <w:rFonts w:ascii="Quattrocento Sans" w:eastAsia="Quattrocento Sans" w:hAnsi="Quattrocento Sans" w:cs="Quattrocento Sans"/>
                <w:color w:val="000000"/>
                <w:sz w:val="18"/>
                <w:szCs w:val="18"/>
              </w:rPr>
            </w:pPr>
            <w:r>
              <w:rPr>
                <w:sz w:val="13"/>
                <w:szCs w:val="13"/>
              </w:rPr>
              <w:t>678 50 62 79</w:t>
            </w:r>
          </w:p>
          <w:p w14:paraId="66C399FF" w14:textId="77777777" w:rsidR="00926184" w:rsidRDefault="00926184">
            <w:pPr>
              <w:spacing w:line="240" w:lineRule="auto"/>
              <w:jc w:val="both"/>
              <w:rPr>
                <w:rFonts w:ascii="Quattrocento Sans" w:eastAsia="Quattrocento Sans" w:hAnsi="Quattrocento Sans" w:cs="Quattrocento Sans"/>
                <w:color w:val="000000"/>
                <w:sz w:val="6"/>
                <w:szCs w:val="6"/>
              </w:rPr>
            </w:pPr>
          </w:p>
          <w:p w14:paraId="78F7CA90" w14:textId="77777777" w:rsidR="00926184" w:rsidRDefault="00955C53">
            <w:pPr>
              <w:spacing w:line="240" w:lineRule="auto"/>
              <w:jc w:val="both"/>
              <w:rPr>
                <w:rFonts w:ascii="Quattrocento Sans" w:eastAsia="Quattrocento Sans" w:hAnsi="Quattrocento Sans" w:cs="Quattrocento Sans"/>
                <w:color w:val="000000"/>
                <w:sz w:val="18"/>
                <w:szCs w:val="18"/>
              </w:rPr>
            </w:pPr>
            <w:hyperlink r:id="rId7">
              <w:r>
                <w:rPr>
                  <w:color w:val="EA5B0C"/>
                  <w:sz w:val="13"/>
                  <w:szCs w:val="13"/>
                  <w:u w:val="single"/>
                </w:rPr>
                <w:t>lucia@wegarage.es</w:t>
              </w:r>
            </w:hyperlink>
          </w:p>
          <w:p w14:paraId="5522EAFA" w14:textId="77777777" w:rsidR="00926184" w:rsidRDefault="00955C53">
            <w:pPr>
              <w:spacing w:line="240" w:lineRule="auto"/>
              <w:jc w:val="both"/>
              <w:rPr>
                <w:rFonts w:ascii="Quattrocento Sans" w:eastAsia="Quattrocento Sans" w:hAnsi="Quattrocento Sans" w:cs="Quattrocento Sans"/>
                <w:color w:val="000000"/>
                <w:sz w:val="18"/>
                <w:szCs w:val="18"/>
              </w:rPr>
            </w:pPr>
            <w:r>
              <w:rPr>
                <w:rFonts w:ascii="Quattrocento Sans" w:eastAsia="Quattrocento Sans" w:hAnsi="Quattrocento Sans" w:cs="Quattrocento Sans"/>
                <w:color w:val="000000"/>
                <w:sz w:val="18"/>
                <w:szCs w:val="18"/>
              </w:rPr>
              <w:br/>
            </w:r>
          </w:p>
          <w:p w14:paraId="379D4B9E" w14:textId="77777777" w:rsidR="00926184" w:rsidRDefault="00926184">
            <w:pPr>
              <w:pBdr>
                <w:top w:val="nil"/>
                <w:left w:val="nil"/>
                <w:bottom w:val="nil"/>
                <w:right w:val="nil"/>
                <w:between w:val="nil"/>
              </w:pBdr>
              <w:jc w:val="both"/>
              <w:rPr>
                <w:sz w:val="13"/>
                <w:szCs w:val="13"/>
              </w:rPr>
            </w:pPr>
          </w:p>
        </w:tc>
      </w:tr>
    </w:tbl>
    <w:p w14:paraId="219D56D8" w14:textId="77777777" w:rsidR="00926184" w:rsidRDefault="00926184">
      <w:pPr>
        <w:spacing w:after="0" w:line="276" w:lineRule="auto"/>
        <w:jc w:val="both"/>
        <w:rPr>
          <w:b/>
          <w:sz w:val="22"/>
          <w:szCs w:val="22"/>
        </w:rPr>
      </w:pPr>
    </w:p>
    <w:p w14:paraId="2C196DD8" w14:textId="77777777" w:rsidR="00926184" w:rsidRDefault="00955C53">
      <w:pPr>
        <w:spacing w:after="0" w:line="240" w:lineRule="auto"/>
        <w:rPr>
          <w:b/>
          <w:sz w:val="22"/>
          <w:szCs w:val="22"/>
        </w:rPr>
      </w:pPr>
      <w:r>
        <w:rPr>
          <w:b/>
          <w:sz w:val="22"/>
          <w:szCs w:val="22"/>
        </w:rPr>
        <w:t>Análisis de GfK DAM</w:t>
      </w:r>
    </w:p>
    <w:p w14:paraId="6697B4FC" w14:textId="77777777" w:rsidR="00926184" w:rsidRDefault="00926184">
      <w:pPr>
        <w:spacing w:after="0" w:line="276" w:lineRule="auto"/>
        <w:rPr>
          <w:b/>
          <w:color w:val="000000"/>
          <w:sz w:val="28"/>
          <w:szCs w:val="28"/>
        </w:rPr>
      </w:pPr>
    </w:p>
    <w:p w14:paraId="65070641" w14:textId="77777777" w:rsidR="00926184" w:rsidRDefault="00955C53">
      <w:pPr>
        <w:spacing w:after="0" w:line="240" w:lineRule="auto"/>
        <w:rPr>
          <w:b/>
          <w:color w:val="000000"/>
          <w:sz w:val="28"/>
          <w:szCs w:val="28"/>
        </w:rPr>
      </w:pPr>
      <w:r>
        <w:rPr>
          <w:b/>
          <w:sz w:val="28"/>
          <w:szCs w:val="28"/>
        </w:rPr>
        <w:t xml:space="preserve">Wrapped Digital 2024: ¿qué ha sido lo más consumido en Internet en España? </w:t>
      </w:r>
    </w:p>
    <w:p w14:paraId="5987DC3B" w14:textId="77777777" w:rsidR="00926184" w:rsidRDefault="00926184">
      <w:pPr>
        <w:spacing w:after="0" w:line="276" w:lineRule="auto"/>
        <w:ind w:left="1695"/>
        <w:jc w:val="both"/>
        <w:rPr>
          <w:b/>
          <w:color w:val="FF0000"/>
        </w:rPr>
      </w:pPr>
    </w:p>
    <w:p w14:paraId="4C189D7F" w14:textId="77777777" w:rsidR="00926184" w:rsidRDefault="00955C53">
      <w:pPr>
        <w:spacing w:after="0" w:line="240" w:lineRule="auto"/>
        <w:rPr>
          <w:b/>
          <w:color w:val="FF0000"/>
        </w:rPr>
      </w:pPr>
      <w:r>
        <w:rPr>
          <w:b/>
        </w:rPr>
        <w:t>Según los datos de navegación recopilados durante todo 2024 por GfK DAM, la red social TikTok sigue imparable, mientras que X experimenta una importante caída</w:t>
      </w:r>
    </w:p>
    <w:p w14:paraId="001DEE94" w14:textId="77777777" w:rsidR="00926184" w:rsidRDefault="00926184">
      <w:pPr>
        <w:spacing w:after="0" w:line="276" w:lineRule="auto"/>
        <w:jc w:val="both"/>
        <w:rPr>
          <w:b/>
          <w:color w:val="FF0000"/>
        </w:rPr>
      </w:pPr>
    </w:p>
    <w:p w14:paraId="175664F5" w14:textId="77777777" w:rsidR="00926184" w:rsidRDefault="00955C53">
      <w:pPr>
        <w:spacing w:after="0" w:line="240" w:lineRule="auto"/>
        <w:ind w:left="1440"/>
        <w:jc w:val="both"/>
        <w:rPr>
          <w:b/>
        </w:rPr>
      </w:pPr>
      <w:r>
        <w:rPr>
          <w:b/>
        </w:rPr>
        <w:t>En cuanto a la planificación de viajes, Booking.com es la clara favorita de los españoles y, respecto a finanzas, los neobancos como Revolut ganan terreno</w:t>
      </w:r>
    </w:p>
    <w:p w14:paraId="686BBF87" w14:textId="77777777" w:rsidR="00926184" w:rsidRDefault="00926184">
      <w:pPr>
        <w:spacing w:after="0" w:line="240" w:lineRule="auto"/>
        <w:ind w:left="1440"/>
        <w:jc w:val="both"/>
        <w:rPr>
          <w:b/>
        </w:rPr>
      </w:pPr>
    </w:p>
    <w:p w14:paraId="089F92EB" w14:textId="77777777" w:rsidR="00926184" w:rsidRDefault="00955C53" w:rsidP="003E44B9">
      <w:pPr>
        <w:spacing w:after="0" w:line="240" w:lineRule="auto"/>
        <w:ind w:left="1440"/>
        <w:jc w:val="both"/>
        <w:rPr>
          <w:b/>
        </w:rPr>
      </w:pPr>
      <w:r>
        <w:rPr>
          <w:b/>
        </w:rPr>
        <w:t xml:space="preserve">Acontecimientos que han marcado 2024 como la trágica DANA se han visto reflejados en el consumo digital: aumentó el consumo de medios locales valencianos </w:t>
      </w:r>
    </w:p>
    <w:p w14:paraId="6CD3E423" w14:textId="77777777" w:rsidR="00926184" w:rsidRDefault="00955C53">
      <w:pPr>
        <w:spacing w:after="0" w:line="276" w:lineRule="auto"/>
        <w:jc w:val="both"/>
      </w:pPr>
      <w:r>
        <w:rPr>
          <w:color w:val="FF0000"/>
          <w:sz w:val="22"/>
          <w:szCs w:val="22"/>
        </w:rPr>
        <w:br/>
      </w:r>
      <w:r>
        <w:rPr>
          <w:color w:val="FF0000"/>
          <w:sz w:val="22"/>
          <w:szCs w:val="22"/>
        </w:rPr>
        <w:br/>
      </w:r>
      <w:r>
        <w:rPr>
          <w:b/>
        </w:rPr>
        <w:t>Madrid, 17 de diciembre de 2024.-</w:t>
      </w:r>
      <w:r>
        <w:t xml:space="preserve"> Un año más, </w:t>
      </w:r>
      <w:hyperlink r:id="rId8">
        <w:r>
          <w:rPr>
            <w:color w:val="EA5B0C"/>
            <w:u w:val="single"/>
          </w:rPr>
          <w:t>GfK DAM</w:t>
        </w:r>
      </w:hyperlink>
      <w:r>
        <w:t xml:space="preserve">, medidor oficial de las audiencias digitales en España, presenta el </w:t>
      </w:r>
      <w:r>
        <w:rPr>
          <w:b/>
          <w:i/>
        </w:rPr>
        <w:t>Wrapped Digital 2024</w:t>
      </w:r>
      <w:r>
        <w:t xml:space="preserve">, un análisis que desvela la navegación en Internet imprescindible para la sociedad española en 2024, es decir, lo más consumido por los internautas durante el año. </w:t>
      </w:r>
    </w:p>
    <w:p w14:paraId="17E3F759" w14:textId="35E9641A" w:rsidR="00926184" w:rsidRDefault="00955C53">
      <w:pPr>
        <w:spacing w:after="0" w:line="276" w:lineRule="auto"/>
        <w:jc w:val="both"/>
        <w:rPr>
          <w:i/>
          <w:color w:val="FF0000"/>
          <w:highlight w:val="white"/>
        </w:rPr>
      </w:pPr>
      <w:r>
        <w:rPr>
          <w:rFonts w:ascii="Quattrocento Sans" w:eastAsia="Quattrocento Sans" w:hAnsi="Quattrocento Sans" w:cs="Quattrocento Sans"/>
          <w:sz w:val="18"/>
          <w:szCs w:val="18"/>
        </w:rPr>
        <w:br/>
      </w:r>
      <w:r>
        <w:rPr>
          <w:b/>
        </w:rPr>
        <w:t>David Sánchez, Director de GfK Media</w:t>
      </w:r>
      <w:r>
        <w:t xml:space="preserve">, afirma que: </w:t>
      </w:r>
      <w:r>
        <w:rPr>
          <w:i/>
        </w:rPr>
        <w:t>“</w:t>
      </w:r>
      <w:r w:rsidR="00073A69">
        <w:rPr>
          <w:i/>
        </w:rPr>
        <w:t xml:space="preserve">2024 ha sido el año de la democratización de la inteligencia artificial, del auge y caída </w:t>
      </w:r>
      <w:r w:rsidR="007B0165">
        <w:rPr>
          <w:i/>
        </w:rPr>
        <w:t>de</w:t>
      </w:r>
      <w:r w:rsidR="00073A69">
        <w:rPr>
          <w:i/>
        </w:rPr>
        <w:t xml:space="preserve"> redes sociales, del valor de la información periodística en momentos de shock para la población o del crecimiento sin descanso del sector viajes. Pero sólo son algunos ejemplos porqu</w:t>
      </w:r>
      <w:r w:rsidR="004D7F23">
        <w:rPr>
          <w:i/>
        </w:rPr>
        <w:t>e I</w:t>
      </w:r>
      <w:r w:rsidR="00073A69">
        <w:rPr>
          <w:i/>
        </w:rPr>
        <w:t>nternet lo es todo en la vida diaria de los españoles</w:t>
      </w:r>
      <w:r>
        <w:rPr>
          <w:i/>
        </w:rPr>
        <w:t>”.</w:t>
      </w:r>
    </w:p>
    <w:p w14:paraId="1F94C2B6" w14:textId="77777777" w:rsidR="00926184" w:rsidRDefault="00926184">
      <w:pPr>
        <w:spacing w:after="0" w:line="276" w:lineRule="auto"/>
        <w:jc w:val="center"/>
        <w:rPr>
          <w:i/>
          <w:color w:val="FF0000"/>
          <w:highlight w:val="white"/>
        </w:rPr>
      </w:pPr>
    </w:p>
    <w:p w14:paraId="28FE8E7E" w14:textId="77777777" w:rsidR="00926184" w:rsidRDefault="00955C53">
      <w:pPr>
        <w:spacing w:after="0" w:line="240" w:lineRule="auto"/>
        <w:jc w:val="both"/>
        <w:rPr>
          <w:rFonts w:ascii="Quattrocento Sans" w:eastAsia="Quattrocento Sans" w:hAnsi="Quattrocento Sans" w:cs="Quattrocento Sans"/>
          <w:sz w:val="18"/>
          <w:szCs w:val="18"/>
        </w:rPr>
      </w:pPr>
      <w:r>
        <w:rPr>
          <w:b/>
          <w:sz w:val="22"/>
          <w:szCs w:val="22"/>
        </w:rPr>
        <w:t xml:space="preserve">TikTok, el </w:t>
      </w:r>
      <w:r>
        <w:rPr>
          <w:b/>
          <w:i/>
          <w:sz w:val="22"/>
          <w:szCs w:val="22"/>
        </w:rPr>
        <w:t xml:space="preserve">site </w:t>
      </w:r>
      <w:r>
        <w:rPr>
          <w:b/>
          <w:sz w:val="22"/>
          <w:szCs w:val="22"/>
        </w:rPr>
        <w:t>que sigue imparable en 2024 y X, el que más ha descendido</w:t>
      </w:r>
    </w:p>
    <w:p w14:paraId="48AD5176" w14:textId="77777777" w:rsidR="00926184" w:rsidRDefault="00955C53">
      <w:pPr>
        <w:spacing w:after="0" w:line="240" w:lineRule="auto"/>
        <w:jc w:val="both"/>
      </w:pPr>
      <w:r>
        <w:rPr>
          <w:rFonts w:ascii="Quattrocento Sans" w:eastAsia="Quattrocento Sans" w:hAnsi="Quattrocento Sans" w:cs="Quattrocento Sans"/>
          <w:sz w:val="18"/>
          <w:szCs w:val="18"/>
        </w:rPr>
        <w:br/>
      </w:r>
      <w:r>
        <w:t xml:space="preserve">Entre las principales conclusiones extraídas, destaca que </w:t>
      </w:r>
      <w:r>
        <w:rPr>
          <w:b/>
        </w:rPr>
        <w:t xml:space="preserve">Google </w:t>
      </w:r>
      <w:r>
        <w:t>sigue</w:t>
      </w:r>
      <w:r>
        <w:rPr>
          <w:b/>
        </w:rPr>
        <w:t xml:space="preserve"> </w:t>
      </w:r>
      <w:r>
        <w:t xml:space="preserve">encabezando el ranking de las plataformas más utilizadas durante este 2024, </w:t>
      </w:r>
      <w:r>
        <w:rPr>
          <w:b/>
        </w:rPr>
        <w:t xml:space="preserve">con más de 39 millones y medio de usuarios únicos mensuales en España </w:t>
      </w:r>
      <w:r>
        <w:t xml:space="preserve">(un 2,4% más que en 2023). Le siguen </w:t>
      </w:r>
      <w:r>
        <w:rPr>
          <w:b/>
        </w:rPr>
        <w:t>YouTube</w:t>
      </w:r>
      <w:r>
        <w:t xml:space="preserve">, muy próximo a los 37 millones, mientras que el servicio de mensajería instantánea más extendido, </w:t>
      </w:r>
      <w:r>
        <w:rPr>
          <w:b/>
        </w:rPr>
        <w:t>WhatsApp</w:t>
      </w:r>
      <w:r>
        <w:t xml:space="preserve">, ha alcanzado más de 35 millones de internautas. El resto del ranking lo completan redes sociales como Facebook e Instagram y </w:t>
      </w:r>
      <w:r>
        <w:rPr>
          <w:i/>
        </w:rPr>
        <w:t>marketplaces</w:t>
      </w:r>
      <w:r>
        <w:t xml:space="preserve"> como Amazon y AliExpress.</w:t>
      </w:r>
    </w:p>
    <w:p w14:paraId="3C1B05F7" w14:textId="77777777" w:rsidR="00926184" w:rsidRDefault="00926184">
      <w:pPr>
        <w:spacing w:after="0" w:line="240" w:lineRule="auto"/>
        <w:jc w:val="both"/>
        <w:rPr>
          <w:rFonts w:ascii="Quattrocento Sans" w:eastAsia="Quattrocento Sans" w:hAnsi="Quattrocento Sans" w:cs="Quattrocento Sans"/>
          <w:sz w:val="18"/>
          <w:szCs w:val="18"/>
        </w:rPr>
      </w:pPr>
    </w:p>
    <w:p w14:paraId="73C0B65C" w14:textId="77777777" w:rsidR="00926184" w:rsidRDefault="00955C53">
      <w:pPr>
        <w:spacing w:after="0" w:line="276" w:lineRule="auto"/>
        <w:jc w:val="both"/>
      </w:pPr>
      <w:r>
        <w:t xml:space="preserve">Destaca especialmente el </w:t>
      </w:r>
      <w:r>
        <w:rPr>
          <w:b/>
        </w:rPr>
        <w:t>gran crecimiento de TikTok respecto a 2023</w:t>
      </w:r>
      <w:r>
        <w:t xml:space="preserve">, que incrementa en un 15% su media de usuarios únicos mensuales. Asimismo, Instagram y AliExpress aumentan en un 5,2% y un 5,8% respectivamente respecto al año pasado. Asimismo, resalta el </w:t>
      </w:r>
      <w:r>
        <w:rPr>
          <w:b/>
        </w:rPr>
        <w:t xml:space="preserve">decrecimiento de redes </w:t>
      </w:r>
      <w:r>
        <w:rPr>
          <w:b/>
        </w:rPr>
        <w:lastRenderedPageBreak/>
        <w:t>sociales como X</w:t>
      </w:r>
      <w:r>
        <w:t xml:space="preserve">, donde su consumo sufre una llamativa </w:t>
      </w:r>
      <w:r>
        <w:rPr>
          <w:b/>
        </w:rPr>
        <w:t>caída del 12,7%</w:t>
      </w:r>
      <w:r>
        <w:t xml:space="preserve"> respecto a 2023, año en el que ya disminuyó en un 7% respecto al año predecesor.</w:t>
      </w:r>
    </w:p>
    <w:p w14:paraId="4320DB43" w14:textId="77777777" w:rsidR="00926184" w:rsidRDefault="00926184">
      <w:pPr>
        <w:spacing w:after="0" w:line="276" w:lineRule="auto"/>
        <w:jc w:val="both"/>
      </w:pPr>
    </w:p>
    <w:p w14:paraId="5E886C49" w14:textId="77777777" w:rsidR="00926184" w:rsidRDefault="00955C53">
      <w:pPr>
        <w:spacing w:after="0" w:line="276" w:lineRule="auto"/>
        <w:jc w:val="center"/>
      </w:pPr>
      <w:r>
        <w:rPr>
          <w:noProof/>
        </w:rPr>
        <w:drawing>
          <wp:inline distT="114300" distB="114300" distL="114300" distR="114300" wp14:anchorId="21CC7B4F" wp14:editId="3CA33F52">
            <wp:extent cx="5020310" cy="4410761"/>
            <wp:effectExtent l="0" t="0" r="0" b="0"/>
            <wp:docPr id="19714292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t="3802" b="8189"/>
                    <a:stretch>
                      <a:fillRect/>
                    </a:stretch>
                  </pic:blipFill>
                  <pic:spPr>
                    <a:xfrm>
                      <a:off x="0" y="0"/>
                      <a:ext cx="5020310" cy="4410761"/>
                    </a:xfrm>
                    <a:prstGeom prst="rect">
                      <a:avLst/>
                    </a:prstGeom>
                    <a:ln/>
                  </pic:spPr>
                </pic:pic>
              </a:graphicData>
            </a:graphic>
          </wp:inline>
        </w:drawing>
      </w:r>
    </w:p>
    <w:p w14:paraId="32AF0948" w14:textId="77777777" w:rsidR="00926184" w:rsidRDefault="00955C53">
      <w:pPr>
        <w:spacing w:line="240" w:lineRule="auto"/>
        <w:jc w:val="center"/>
        <w:rPr>
          <w:b/>
          <w:i/>
          <w:sz w:val="18"/>
          <w:szCs w:val="18"/>
        </w:rPr>
      </w:pPr>
      <w:r>
        <w:rPr>
          <w:i/>
          <w:sz w:val="16"/>
          <w:szCs w:val="16"/>
        </w:rPr>
        <w:t>Wrapped Digital 2024. Análisis GfK DAM sobre los sites (web y app) más visitados en España.</w:t>
      </w:r>
      <w:r>
        <w:rPr>
          <w:i/>
          <w:sz w:val="16"/>
          <w:szCs w:val="16"/>
        </w:rPr>
        <w:br/>
        <w:t>Métrica: Media mensual de usuarios únicos. Período: enero-octubre 2024</w:t>
      </w:r>
    </w:p>
    <w:p w14:paraId="0003E40E" w14:textId="77777777" w:rsidR="00926184" w:rsidRDefault="00926184">
      <w:pPr>
        <w:spacing w:after="0" w:line="276" w:lineRule="auto"/>
        <w:jc w:val="both"/>
        <w:rPr>
          <w:b/>
          <w:sz w:val="22"/>
          <w:szCs w:val="22"/>
        </w:rPr>
      </w:pPr>
    </w:p>
    <w:p w14:paraId="305098D8" w14:textId="77777777" w:rsidR="00926184" w:rsidRDefault="00955C53">
      <w:pPr>
        <w:spacing w:after="0" w:line="276" w:lineRule="auto"/>
        <w:jc w:val="both"/>
        <w:rPr>
          <w:b/>
          <w:sz w:val="22"/>
          <w:szCs w:val="22"/>
        </w:rPr>
      </w:pPr>
      <w:r>
        <w:rPr>
          <w:b/>
          <w:sz w:val="22"/>
          <w:szCs w:val="22"/>
        </w:rPr>
        <w:t xml:space="preserve">Las redes sociales de Meta continúan en el pódium, siendo las favoritas </w:t>
      </w:r>
    </w:p>
    <w:p w14:paraId="1F04734F" w14:textId="77777777" w:rsidR="00926184" w:rsidRDefault="00955C53">
      <w:pPr>
        <w:spacing w:after="0" w:line="276" w:lineRule="auto"/>
        <w:jc w:val="both"/>
      </w:pPr>
      <w:r>
        <w:rPr>
          <w:rFonts w:ascii="Quattrocento Sans" w:eastAsia="Quattrocento Sans" w:hAnsi="Quattrocento Sans" w:cs="Quattrocento Sans"/>
          <w:sz w:val="18"/>
          <w:szCs w:val="18"/>
        </w:rPr>
        <w:br/>
      </w:r>
      <w:r>
        <w:t xml:space="preserve">Son muchas las actividades que forman parte de la rutina digital diaria de los españoles, como la consulta de </w:t>
      </w:r>
      <w:r>
        <w:rPr>
          <w:b/>
        </w:rPr>
        <w:t>redes sociales</w:t>
      </w:r>
      <w:r>
        <w:t xml:space="preserve">. Un año más, las dos plataformas de Meta continúan siendo las líderes de esta categoría, situando a </w:t>
      </w:r>
      <w:r>
        <w:rPr>
          <w:b/>
        </w:rPr>
        <w:t xml:space="preserve">Facebook </w:t>
      </w:r>
      <w:r>
        <w:t xml:space="preserve">en primer lugar, con más de </w:t>
      </w:r>
      <w:r>
        <w:rPr>
          <w:b/>
        </w:rPr>
        <w:t>33 millones de usuarios únicos</w:t>
      </w:r>
      <w:r>
        <w:t xml:space="preserve">, seguida de </w:t>
      </w:r>
      <w:r>
        <w:rPr>
          <w:b/>
        </w:rPr>
        <w:t>Instagram</w:t>
      </w:r>
      <w:r>
        <w:t xml:space="preserve">, con más de 32 millones. El ranking lo continúan </w:t>
      </w:r>
      <w:r>
        <w:rPr>
          <w:b/>
        </w:rPr>
        <w:t>TikTok</w:t>
      </w:r>
      <w:r>
        <w:t xml:space="preserve">, con más de 24 millones y </w:t>
      </w:r>
      <w:r>
        <w:rPr>
          <w:b/>
        </w:rPr>
        <w:t>X</w:t>
      </w:r>
      <w:r>
        <w:t xml:space="preserve">, con 18 millones, a pesar de su considerable caída en usuarios este año. </w:t>
      </w:r>
    </w:p>
    <w:p w14:paraId="08C86107" w14:textId="77777777" w:rsidR="00926184" w:rsidRDefault="00955C53">
      <w:pPr>
        <w:spacing w:after="0" w:line="276" w:lineRule="auto"/>
        <w:jc w:val="both"/>
      </w:pPr>
      <w:r>
        <w:rPr>
          <w:rFonts w:ascii="Quattrocento Sans" w:eastAsia="Quattrocento Sans" w:hAnsi="Quattrocento Sans" w:cs="Quattrocento Sans"/>
          <w:sz w:val="18"/>
          <w:szCs w:val="18"/>
        </w:rPr>
        <w:br/>
      </w:r>
      <w:r>
        <w:t xml:space="preserve">En lo que se refiere a la variación respecto a 2023, </w:t>
      </w:r>
      <w:r>
        <w:rPr>
          <w:b/>
        </w:rPr>
        <w:t xml:space="preserve">Reddit se convierte en el </w:t>
      </w:r>
      <w:r>
        <w:rPr>
          <w:b/>
          <w:i/>
        </w:rPr>
        <w:t>site</w:t>
      </w:r>
      <w:r>
        <w:rPr>
          <w:b/>
        </w:rPr>
        <w:t xml:space="preserve"> que más popularidad ha ganado entre los españoles este último año</w:t>
      </w:r>
      <w:r>
        <w:t xml:space="preserve">, con casi un </w:t>
      </w:r>
      <w:r>
        <w:rPr>
          <w:b/>
        </w:rPr>
        <w:t>60% de crecimiento</w:t>
      </w:r>
      <w:r>
        <w:t xml:space="preserve">, seguido de la plataforma de distribución digital de videojuegos, </w:t>
      </w:r>
      <w:r>
        <w:rPr>
          <w:b/>
        </w:rPr>
        <w:t>Steam</w:t>
      </w:r>
      <w:r>
        <w:t>, que experimenta un aumento del 17% respecto al año anterior.</w:t>
      </w:r>
    </w:p>
    <w:p w14:paraId="2BC9FE15" w14:textId="70498EFD" w:rsidR="00926184" w:rsidRPr="00812BD9" w:rsidRDefault="00955C53" w:rsidP="00812BD9">
      <w:pPr>
        <w:spacing w:after="0" w:line="276" w:lineRule="auto"/>
        <w:jc w:val="center"/>
      </w:pPr>
      <w:r>
        <w:rPr>
          <w:noProof/>
        </w:rPr>
        <w:lastRenderedPageBreak/>
        <w:drawing>
          <wp:inline distT="114300" distB="114300" distL="114300" distR="114300" wp14:anchorId="5DC0FA6A" wp14:editId="4F53953D">
            <wp:extent cx="4988560" cy="4433341"/>
            <wp:effectExtent l="0" t="0" r="0" b="0"/>
            <wp:docPr id="197142925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t="2841" b="8290"/>
                    <a:stretch>
                      <a:fillRect/>
                    </a:stretch>
                  </pic:blipFill>
                  <pic:spPr>
                    <a:xfrm>
                      <a:off x="0" y="0"/>
                      <a:ext cx="4988560" cy="4433341"/>
                    </a:xfrm>
                    <a:prstGeom prst="rect">
                      <a:avLst/>
                    </a:prstGeom>
                    <a:ln/>
                  </pic:spPr>
                </pic:pic>
              </a:graphicData>
            </a:graphic>
          </wp:inline>
        </w:drawing>
      </w:r>
      <w:r>
        <w:rPr>
          <w:rFonts w:ascii="Lato" w:eastAsia="Lato" w:hAnsi="Lato" w:cs="Lato"/>
          <w:b/>
          <w:i/>
        </w:rPr>
        <w:br/>
      </w:r>
    </w:p>
    <w:p w14:paraId="7F253C5C" w14:textId="77777777" w:rsidR="00926184" w:rsidRDefault="00955C53">
      <w:pPr>
        <w:spacing w:after="0" w:line="276" w:lineRule="auto"/>
        <w:jc w:val="both"/>
        <w:rPr>
          <w:rFonts w:ascii="Quattrocento Sans" w:eastAsia="Quattrocento Sans" w:hAnsi="Quattrocento Sans" w:cs="Quattrocento Sans"/>
          <w:sz w:val="18"/>
          <w:szCs w:val="18"/>
        </w:rPr>
      </w:pPr>
      <w:r>
        <w:rPr>
          <w:b/>
          <w:sz w:val="22"/>
          <w:szCs w:val="22"/>
        </w:rPr>
        <w:t>Las plataformas de viajes: crece su consumo durante este año</w:t>
      </w:r>
    </w:p>
    <w:p w14:paraId="52899DFA" w14:textId="77777777" w:rsidR="00926184" w:rsidRDefault="00955C53">
      <w:pPr>
        <w:spacing w:after="0" w:line="240" w:lineRule="auto"/>
        <w:jc w:val="both"/>
      </w:pPr>
      <w:r>
        <w:rPr>
          <w:rFonts w:ascii="Quattrocento Sans" w:eastAsia="Quattrocento Sans" w:hAnsi="Quattrocento Sans" w:cs="Quattrocento Sans"/>
          <w:sz w:val="18"/>
          <w:szCs w:val="18"/>
        </w:rPr>
        <w:br/>
      </w:r>
      <w:r>
        <w:t xml:space="preserve">A la cabeza del Top centrado en la categoría de Viajes, se encuentra </w:t>
      </w:r>
      <w:r>
        <w:rPr>
          <w:b/>
        </w:rPr>
        <w:t>Booking.com ocupando el primer puesto con más de 13 millones de usuarios únicos mensuales</w:t>
      </w:r>
      <w:r>
        <w:t xml:space="preserve">, con un aumento del casi 9% respecto a 2023. En segundo lugar, se sitúa </w:t>
      </w:r>
      <w:r>
        <w:rPr>
          <w:b/>
        </w:rPr>
        <w:t>TripAdvisor</w:t>
      </w:r>
      <w:r>
        <w:t xml:space="preserve">, que cuenta con la mitad de internautas, y un crecimiento del 5,5%. Seguidamente, se localiza </w:t>
      </w:r>
      <w:r>
        <w:rPr>
          <w:b/>
        </w:rPr>
        <w:t>Renfe,</w:t>
      </w:r>
      <w:r>
        <w:t xml:space="preserve"> con más de 5 millones de visitantes únicos. </w:t>
      </w:r>
      <w:r>
        <w:br/>
      </w:r>
      <w:r>
        <w:br/>
        <w:t xml:space="preserve">También destaca el crecimiento de casi el 13% de visitantes a plataformas como </w:t>
      </w:r>
      <w:r>
        <w:rPr>
          <w:b/>
        </w:rPr>
        <w:t>Airbnb</w:t>
      </w:r>
      <w:r>
        <w:t xml:space="preserve">, con más de 3 millones y medio de usuarios mensuales de media, mientras que </w:t>
      </w:r>
      <w:r>
        <w:rPr>
          <w:b/>
        </w:rPr>
        <w:t xml:space="preserve">Skyscanner </w:t>
      </w:r>
      <w:r>
        <w:t>incrementa su audiencia respecto a 2023 en</w:t>
      </w:r>
      <w:r>
        <w:rPr>
          <w:b/>
        </w:rPr>
        <w:t xml:space="preserve"> </w:t>
      </w:r>
      <w:r>
        <w:t xml:space="preserve">un </w:t>
      </w:r>
      <w:r>
        <w:rPr>
          <w:b/>
        </w:rPr>
        <w:t xml:space="preserve">15,5% </w:t>
      </w:r>
      <w:r>
        <w:t>e</w:t>
      </w:r>
      <w:r>
        <w:rPr>
          <w:b/>
        </w:rPr>
        <w:t xml:space="preserve"> Iberia </w:t>
      </w:r>
      <w:r>
        <w:t xml:space="preserve">en un </w:t>
      </w:r>
      <w:r>
        <w:rPr>
          <w:b/>
        </w:rPr>
        <w:t>19%</w:t>
      </w:r>
      <w:r>
        <w:t>.</w:t>
      </w:r>
    </w:p>
    <w:p w14:paraId="047E6E7E" w14:textId="77777777" w:rsidR="00926184" w:rsidRDefault="00926184">
      <w:pPr>
        <w:spacing w:after="0" w:line="240" w:lineRule="auto"/>
        <w:jc w:val="both"/>
      </w:pPr>
    </w:p>
    <w:p w14:paraId="0161961E" w14:textId="77777777" w:rsidR="00926184" w:rsidRDefault="00955C53">
      <w:pPr>
        <w:spacing w:after="0" w:line="240" w:lineRule="auto"/>
        <w:jc w:val="center"/>
      </w:pPr>
      <w:r>
        <w:rPr>
          <w:noProof/>
        </w:rPr>
        <w:lastRenderedPageBreak/>
        <w:drawing>
          <wp:inline distT="114300" distB="114300" distL="114300" distR="114300" wp14:anchorId="5491321B" wp14:editId="613C13B1">
            <wp:extent cx="4994910" cy="4354753"/>
            <wp:effectExtent l="0" t="0" r="0" b="0"/>
            <wp:docPr id="19714292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t="4328" b="8435"/>
                    <a:stretch>
                      <a:fillRect/>
                    </a:stretch>
                  </pic:blipFill>
                  <pic:spPr>
                    <a:xfrm>
                      <a:off x="0" y="0"/>
                      <a:ext cx="4994910" cy="4354753"/>
                    </a:xfrm>
                    <a:prstGeom prst="rect">
                      <a:avLst/>
                    </a:prstGeom>
                    <a:ln/>
                  </pic:spPr>
                </pic:pic>
              </a:graphicData>
            </a:graphic>
          </wp:inline>
        </w:drawing>
      </w:r>
    </w:p>
    <w:p w14:paraId="09DB1C46" w14:textId="77777777" w:rsidR="00926184" w:rsidRDefault="00926184">
      <w:pPr>
        <w:spacing w:after="0" w:line="276" w:lineRule="auto"/>
        <w:jc w:val="both"/>
      </w:pPr>
    </w:p>
    <w:p w14:paraId="35D86CC1" w14:textId="77777777" w:rsidR="00926184" w:rsidRDefault="00955C53">
      <w:pPr>
        <w:spacing w:after="0" w:line="240" w:lineRule="auto"/>
        <w:rPr>
          <w:rFonts w:ascii="Quattrocento Sans" w:eastAsia="Quattrocento Sans" w:hAnsi="Quattrocento Sans" w:cs="Quattrocento Sans"/>
          <w:sz w:val="18"/>
          <w:szCs w:val="18"/>
        </w:rPr>
      </w:pPr>
      <w:r>
        <w:rPr>
          <w:b/>
          <w:sz w:val="22"/>
          <w:szCs w:val="22"/>
        </w:rPr>
        <w:t>La banca digital despunta en 2024</w:t>
      </w:r>
    </w:p>
    <w:p w14:paraId="4AD0F69A" w14:textId="77777777" w:rsidR="00926184" w:rsidRDefault="00955C53">
      <w:pPr>
        <w:spacing w:after="0" w:line="240" w:lineRule="auto"/>
        <w:jc w:val="both"/>
      </w:pPr>
      <w:r>
        <w:rPr>
          <w:rFonts w:ascii="Quattrocento Sans" w:eastAsia="Quattrocento Sans" w:hAnsi="Quattrocento Sans" w:cs="Quattrocento Sans"/>
          <w:sz w:val="18"/>
          <w:szCs w:val="18"/>
        </w:rPr>
        <w:br/>
      </w:r>
      <w:r>
        <w:t xml:space="preserve">Según los datos de GfK DAM, el listado de webs y aplicaciones financieras lo sigue liderando </w:t>
      </w:r>
      <w:r>
        <w:rPr>
          <w:b/>
        </w:rPr>
        <w:t>CaixaBank, con más de 11 millones y medio de usuarios únicos mensuales</w:t>
      </w:r>
      <w:r>
        <w:t xml:space="preserve"> y un crecimiento del casi 10% respecto al año anterior, manteniendo su posición un año más como la preferida por los usuarios en esta categoría. Le siguen </w:t>
      </w:r>
      <w:r>
        <w:rPr>
          <w:b/>
        </w:rPr>
        <w:t>BBVA</w:t>
      </w:r>
      <w:r>
        <w:t xml:space="preserve"> (casi 10 millones y medio) con un </w:t>
      </w:r>
      <w:r>
        <w:rPr>
          <w:b/>
        </w:rPr>
        <w:t>descenso del 1,40%</w:t>
      </w:r>
      <w:r>
        <w:t xml:space="preserve"> respecto a 2023, el </w:t>
      </w:r>
      <w:r>
        <w:rPr>
          <w:b/>
        </w:rPr>
        <w:t>Banco Santander</w:t>
      </w:r>
      <w:r>
        <w:t xml:space="preserve"> (por debajo de los 7 millones de usuarios) con una </w:t>
      </w:r>
      <w:r>
        <w:rPr>
          <w:b/>
        </w:rPr>
        <w:t>caída del 1,50%</w:t>
      </w:r>
      <w:r>
        <w:t xml:space="preserve">; </w:t>
      </w:r>
      <w:r>
        <w:rPr>
          <w:b/>
        </w:rPr>
        <w:t>ING</w:t>
      </w:r>
      <w:r>
        <w:t xml:space="preserve">, con más de 6 millones y medio; y </w:t>
      </w:r>
      <w:r>
        <w:rPr>
          <w:b/>
        </w:rPr>
        <w:t>Sabadell</w:t>
      </w:r>
      <w:r>
        <w:t xml:space="preserve">, con casi 4 millones y medio, que cuenta con un </w:t>
      </w:r>
      <w:r>
        <w:rPr>
          <w:b/>
        </w:rPr>
        <w:t>aumento de uso del 13%</w:t>
      </w:r>
      <w:r>
        <w:t xml:space="preserve">. </w:t>
      </w:r>
    </w:p>
    <w:p w14:paraId="4D9142DE" w14:textId="789FE148" w:rsidR="00926184" w:rsidRDefault="00955C53">
      <w:pPr>
        <w:spacing w:after="0" w:line="240" w:lineRule="auto"/>
        <w:jc w:val="both"/>
      </w:pPr>
      <w:r>
        <w:rPr>
          <w:rFonts w:ascii="Quattrocento Sans" w:eastAsia="Quattrocento Sans" w:hAnsi="Quattrocento Sans" w:cs="Quattrocento Sans"/>
          <w:sz w:val="18"/>
          <w:szCs w:val="18"/>
        </w:rPr>
        <w:br/>
      </w:r>
      <w:r>
        <w:t>Además, este año los neobancos ganan protagonismo, lo que atestigua el gran crecimiento de Revolut: supera los 3 millones de usuarios únicos mensuales de media, lo que supone un aumento del 43% en relación al año pasado.</w:t>
      </w:r>
    </w:p>
    <w:p w14:paraId="58BF1F14" w14:textId="37D76634" w:rsidR="00926184" w:rsidRDefault="00812BD9">
      <w:pPr>
        <w:spacing w:after="0" w:line="240" w:lineRule="auto"/>
        <w:jc w:val="center"/>
      </w:pPr>
      <w:r>
        <w:rPr>
          <w:noProof/>
        </w:rPr>
        <w:lastRenderedPageBreak/>
        <w:drawing>
          <wp:inline distT="114300" distB="114300" distL="114300" distR="114300" wp14:anchorId="5D789C8D" wp14:editId="12B15104">
            <wp:extent cx="5651825" cy="5067300"/>
            <wp:effectExtent l="0" t="0" r="0" b="0"/>
            <wp:docPr id="1971429262" name="image2.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1971429262" name="image2.png" descr="Tabla&#10;&#10;Descripción generada automáticamente"/>
                    <pic:cNvPicPr preferRelativeResize="0"/>
                  </pic:nvPicPr>
                  <pic:blipFill>
                    <a:blip r:embed="rId12"/>
                    <a:srcRect/>
                    <a:stretch>
                      <a:fillRect/>
                    </a:stretch>
                  </pic:blipFill>
                  <pic:spPr>
                    <a:xfrm>
                      <a:off x="0" y="0"/>
                      <a:ext cx="5651825" cy="5067300"/>
                    </a:xfrm>
                    <a:prstGeom prst="rect">
                      <a:avLst/>
                    </a:prstGeom>
                    <a:ln/>
                  </pic:spPr>
                </pic:pic>
              </a:graphicData>
            </a:graphic>
          </wp:inline>
        </w:drawing>
      </w:r>
    </w:p>
    <w:p w14:paraId="376A7666" w14:textId="77777777" w:rsidR="00926184" w:rsidRDefault="00926184">
      <w:pPr>
        <w:spacing w:after="0" w:line="276" w:lineRule="auto"/>
        <w:jc w:val="both"/>
        <w:rPr>
          <w:rFonts w:ascii="Quattrocento Sans" w:eastAsia="Quattrocento Sans" w:hAnsi="Quattrocento Sans" w:cs="Quattrocento Sans"/>
          <w:sz w:val="18"/>
          <w:szCs w:val="18"/>
        </w:rPr>
      </w:pPr>
    </w:p>
    <w:p w14:paraId="0A4CEFE3" w14:textId="77777777" w:rsidR="00926184" w:rsidRDefault="00955C53">
      <w:pPr>
        <w:spacing w:after="0" w:line="240" w:lineRule="auto"/>
        <w:jc w:val="both"/>
        <w:rPr>
          <w:b/>
          <w:sz w:val="22"/>
          <w:szCs w:val="22"/>
        </w:rPr>
      </w:pPr>
      <w:r>
        <w:rPr>
          <w:b/>
          <w:sz w:val="22"/>
          <w:szCs w:val="22"/>
        </w:rPr>
        <w:t xml:space="preserve">Burger King, McDonald´s y Just Eat: el Top 3 de </w:t>
      </w:r>
      <w:r>
        <w:rPr>
          <w:b/>
          <w:i/>
          <w:sz w:val="22"/>
          <w:szCs w:val="22"/>
        </w:rPr>
        <w:t>delivery</w:t>
      </w:r>
      <w:r>
        <w:rPr>
          <w:b/>
          <w:sz w:val="22"/>
          <w:szCs w:val="22"/>
        </w:rPr>
        <w:t xml:space="preserve"> preferido por los españoles</w:t>
      </w:r>
    </w:p>
    <w:p w14:paraId="449BA038" w14:textId="77777777" w:rsidR="00926184" w:rsidRDefault="00955C53">
      <w:pPr>
        <w:spacing w:after="0" w:line="240" w:lineRule="auto"/>
        <w:jc w:val="both"/>
      </w:pPr>
      <w:r>
        <w:rPr>
          <w:rFonts w:ascii="Quattrocento Sans" w:eastAsia="Quattrocento Sans" w:hAnsi="Quattrocento Sans" w:cs="Quattrocento Sans"/>
          <w:sz w:val="18"/>
          <w:szCs w:val="18"/>
        </w:rPr>
        <w:br/>
      </w:r>
      <w:r>
        <w:t xml:space="preserve">El acceso a </w:t>
      </w:r>
      <w:r>
        <w:rPr>
          <w:i/>
        </w:rPr>
        <w:t>sites</w:t>
      </w:r>
      <w:r>
        <w:t xml:space="preserve"> y </w:t>
      </w:r>
      <w:r>
        <w:rPr>
          <w:i/>
        </w:rPr>
        <w:t>apps</w:t>
      </w:r>
      <w:r>
        <w:t xml:space="preserve"> de comida a domicilio sigue en auge en España, y este análisis destaca que </w:t>
      </w:r>
      <w:r>
        <w:rPr>
          <w:b/>
        </w:rPr>
        <w:t>Burger King</w:t>
      </w:r>
      <w:r>
        <w:t xml:space="preserve"> y</w:t>
      </w:r>
      <w:r>
        <w:rPr>
          <w:b/>
        </w:rPr>
        <w:t xml:space="preserve"> McDonald´s</w:t>
      </w:r>
      <w:r>
        <w:t xml:space="preserve"> encabezan el ranking </w:t>
      </w:r>
      <w:r>
        <w:rPr>
          <w:b/>
        </w:rPr>
        <w:t xml:space="preserve">con más de 5 millones </w:t>
      </w:r>
      <w:r>
        <w:t>y</w:t>
      </w:r>
      <w:r>
        <w:rPr>
          <w:b/>
        </w:rPr>
        <w:t xml:space="preserve"> casi 4 millones y medio de usuarios únicos,</w:t>
      </w:r>
      <w:r>
        <w:t xml:space="preserve"> respectivamente. En este sentido, McDonald´s crece un 14,5% durante 2024, en comparación con el año anterior, mientras Burger King desciende un 8,5% pese a seguir copando el top 1. </w:t>
      </w:r>
    </w:p>
    <w:p w14:paraId="215E6C7F" w14:textId="77777777" w:rsidR="00926184" w:rsidRDefault="00926184">
      <w:pPr>
        <w:spacing w:after="0" w:line="240" w:lineRule="auto"/>
        <w:jc w:val="both"/>
      </w:pPr>
    </w:p>
    <w:p w14:paraId="3E750A0C" w14:textId="77777777" w:rsidR="00926184" w:rsidRDefault="00955C53">
      <w:pPr>
        <w:spacing w:after="0" w:line="240" w:lineRule="auto"/>
        <w:jc w:val="both"/>
      </w:pPr>
      <w:r>
        <w:t xml:space="preserve">En el tercer lugar del listado se encuentra la plataforma de </w:t>
      </w:r>
      <w:r>
        <w:rPr>
          <w:i/>
        </w:rPr>
        <w:t>delivery</w:t>
      </w:r>
      <w:r>
        <w:t xml:space="preserve">, </w:t>
      </w:r>
      <w:r>
        <w:rPr>
          <w:b/>
        </w:rPr>
        <w:t>Just Eat</w:t>
      </w:r>
      <w:r>
        <w:t xml:space="preserve">, con </w:t>
      </w:r>
      <w:r>
        <w:rPr>
          <w:b/>
        </w:rPr>
        <w:t>más de 3 millones y medio de usuarios únicos mensuales en España;</w:t>
      </w:r>
      <w:r>
        <w:t xml:space="preserve"> seguida de cerca por</w:t>
      </w:r>
      <w:r>
        <w:rPr>
          <w:b/>
        </w:rPr>
        <w:t xml:space="preserve"> Glovo </w:t>
      </w:r>
      <w:r>
        <w:t xml:space="preserve">(casi 3 millones y medio) y </w:t>
      </w:r>
      <w:r>
        <w:rPr>
          <w:b/>
        </w:rPr>
        <w:t>Uber Eats</w:t>
      </w:r>
      <w:r>
        <w:t xml:space="preserve"> (más de 2 millones y medio). </w:t>
      </w:r>
    </w:p>
    <w:p w14:paraId="2B0F33E5" w14:textId="77777777" w:rsidR="00926184" w:rsidRDefault="00926184">
      <w:pPr>
        <w:spacing w:after="0" w:line="240" w:lineRule="auto"/>
        <w:jc w:val="both"/>
      </w:pPr>
    </w:p>
    <w:p w14:paraId="0146A140" w14:textId="77777777" w:rsidR="00926184" w:rsidRDefault="00955C53">
      <w:pPr>
        <w:spacing w:after="0" w:line="240" w:lineRule="auto"/>
        <w:jc w:val="both"/>
      </w:pPr>
      <w:r>
        <w:t xml:space="preserve">En cuanto a la variación 2023 vs 2024 que aporta el análisis, </w:t>
      </w:r>
      <w:r>
        <w:rPr>
          <w:b/>
        </w:rPr>
        <w:t>Telepizza</w:t>
      </w:r>
      <w:r>
        <w:t xml:space="preserve">, que ocupa un sexto lugar en el top, destaca con un </w:t>
      </w:r>
      <w:r>
        <w:rPr>
          <w:b/>
        </w:rPr>
        <w:t>crecimiento significativo de cerca del 12%</w:t>
      </w:r>
      <w:r>
        <w:t xml:space="preserve">; seguido por </w:t>
      </w:r>
      <w:r>
        <w:rPr>
          <w:b/>
        </w:rPr>
        <w:t>Vips</w:t>
      </w:r>
      <w:r>
        <w:t xml:space="preserve">, con un aumento muy llamativo de </w:t>
      </w:r>
      <w:r>
        <w:rPr>
          <w:b/>
        </w:rPr>
        <w:t xml:space="preserve">más del 40% </w:t>
      </w:r>
      <w:r>
        <w:t>en este último año.</w:t>
      </w:r>
      <w:r>
        <w:rPr>
          <w:b/>
        </w:rPr>
        <w:t xml:space="preserve"> </w:t>
      </w:r>
      <w:r>
        <w:t xml:space="preserve">Por contra, </w:t>
      </w:r>
      <w:r>
        <w:rPr>
          <w:b/>
        </w:rPr>
        <w:t xml:space="preserve">Foster´s Hollywood </w:t>
      </w:r>
      <w:r>
        <w:t xml:space="preserve">sufre una </w:t>
      </w:r>
      <w:r>
        <w:rPr>
          <w:b/>
        </w:rPr>
        <w:t>caída del 20,4%</w:t>
      </w:r>
      <w:r>
        <w:t>, con solo 758.722 usuarios que se decantan por este</w:t>
      </w:r>
      <w:r>
        <w:rPr>
          <w:i/>
        </w:rPr>
        <w:t xml:space="preserve"> delivery</w:t>
      </w:r>
      <w:r>
        <w:t xml:space="preserve">. </w:t>
      </w:r>
    </w:p>
    <w:p w14:paraId="0DA4CB8D" w14:textId="77777777" w:rsidR="00926184" w:rsidRDefault="00955C53">
      <w:pPr>
        <w:spacing w:after="0" w:line="240" w:lineRule="auto"/>
        <w:jc w:val="center"/>
      </w:pPr>
      <w:r>
        <w:rPr>
          <w:noProof/>
        </w:rPr>
        <w:lastRenderedPageBreak/>
        <w:drawing>
          <wp:inline distT="114300" distB="114300" distL="114300" distR="114300" wp14:anchorId="087E24CC" wp14:editId="6A564D25">
            <wp:extent cx="5020310" cy="4436159"/>
            <wp:effectExtent l="0" t="0" r="0" b="0"/>
            <wp:docPr id="19714292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t="3317" b="8323"/>
                    <a:stretch>
                      <a:fillRect/>
                    </a:stretch>
                  </pic:blipFill>
                  <pic:spPr>
                    <a:xfrm>
                      <a:off x="0" y="0"/>
                      <a:ext cx="5020310" cy="4436159"/>
                    </a:xfrm>
                    <a:prstGeom prst="rect">
                      <a:avLst/>
                    </a:prstGeom>
                    <a:ln/>
                  </pic:spPr>
                </pic:pic>
              </a:graphicData>
            </a:graphic>
          </wp:inline>
        </w:drawing>
      </w:r>
    </w:p>
    <w:p w14:paraId="22A44F7E" w14:textId="77777777" w:rsidR="00926184" w:rsidRDefault="00926184">
      <w:pPr>
        <w:spacing w:after="0" w:line="240" w:lineRule="auto"/>
        <w:jc w:val="both"/>
      </w:pPr>
    </w:p>
    <w:p w14:paraId="2B9EBB7C" w14:textId="77777777" w:rsidR="00926184" w:rsidRDefault="00926184">
      <w:pPr>
        <w:spacing w:after="0" w:line="276" w:lineRule="auto"/>
        <w:rPr>
          <w:rFonts w:ascii="Calibri" w:eastAsia="Calibri" w:hAnsi="Calibri" w:cs="Calibri"/>
          <w:b/>
          <w:i/>
        </w:rPr>
      </w:pPr>
    </w:p>
    <w:p w14:paraId="038B57E5" w14:textId="77777777" w:rsidR="00926184" w:rsidRDefault="00955C53">
      <w:pPr>
        <w:spacing w:after="0" w:line="240" w:lineRule="auto"/>
        <w:jc w:val="both"/>
        <w:rPr>
          <w:rFonts w:ascii="Quattrocento Sans" w:eastAsia="Quattrocento Sans" w:hAnsi="Quattrocento Sans" w:cs="Quattrocento Sans"/>
          <w:sz w:val="18"/>
          <w:szCs w:val="18"/>
        </w:rPr>
      </w:pPr>
      <w:r>
        <w:rPr>
          <w:b/>
          <w:sz w:val="22"/>
          <w:szCs w:val="22"/>
        </w:rPr>
        <w:t>Tendencias clave en el consumo digital en España: ¿hacia dónde vamos?</w:t>
      </w:r>
    </w:p>
    <w:p w14:paraId="13B7A97C" w14:textId="77777777" w:rsidR="00926184" w:rsidRDefault="00955C53">
      <w:pPr>
        <w:spacing w:after="0" w:line="240" w:lineRule="auto"/>
        <w:jc w:val="both"/>
      </w:pPr>
      <w:r>
        <w:rPr>
          <w:rFonts w:ascii="Quattrocento Sans" w:eastAsia="Quattrocento Sans" w:hAnsi="Quattrocento Sans" w:cs="Quattrocento Sans"/>
          <w:sz w:val="18"/>
          <w:szCs w:val="18"/>
        </w:rPr>
        <w:br/>
      </w:r>
      <w:r>
        <w:t xml:space="preserve">2024 deja grandes hitos para el recuerdo y también da pistas sobre hacia dónde va la sociedad española en lo que a hábitos de navegación se refiere. Por ejemplo, el </w:t>
      </w:r>
      <w:r>
        <w:rPr>
          <w:b/>
        </w:rPr>
        <w:t xml:space="preserve">uso de redes sociales sigue consolidándose </w:t>
      </w:r>
      <w:r>
        <w:t xml:space="preserve">(38 millones de personas acceden a ellas cada mes) y, si algo ha marcado este año ha sido </w:t>
      </w:r>
      <w:r>
        <w:rPr>
          <w:b/>
        </w:rPr>
        <w:t>la progresiva caída de X</w:t>
      </w:r>
      <w:r>
        <w:t xml:space="preserve">, que no solo desciende respecto a 2023, sino que desde mayo ha perdido 4,2 millones de usuarios (-20%). Un fenómeno que convive con el crecimiento de otras redes sociales emergentes </w:t>
      </w:r>
      <w:r>
        <w:rPr>
          <w:b/>
        </w:rPr>
        <w:t xml:space="preserve">Mastodon </w:t>
      </w:r>
      <w:r>
        <w:t xml:space="preserve">o </w:t>
      </w:r>
      <w:r>
        <w:rPr>
          <w:b/>
        </w:rPr>
        <w:t>Threads</w:t>
      </w:r>
      <w:r>
        <w:t xml:space="preserve">, que emulan el concepto de microblogging, y donde se han podido observar crecimientos más destacados, como en </w:t>
      </w:r>
      <w:r>
        <w:rPr>
          <w:b/>
        </w:rPr>
        <w:t>BlueSky</w:t>
      </w:r>
      <w:r>
        <w:t xml:space="preserve">, que ha visto casi triplicarse su audiencia mensual desde junio. </w:t>
      </w:r>
    </w:p>
    <w:p w14:paraId="07EDC3DB" w14:textId="77777777" w:rsidR="00926184" w:rsidRDefault="00926184">
      <w:pPr>
        <w:spacing w:after="0" w:line="240" w:lineRule="auto"/>
        <w:jc w:val="both"/>
      </w:pPr>
    </w:p>
    <w:p w14:paraId="477F58D0" w14:textId="77777777" w:rsidR="00926184" w:rsidRDefault="00955C53">
      <w:pPr>
        <w:spacing w:after="0" w:line="240" w:lineRule="auto"/>
        <w:jc w:val="both"/>
      </w:pPr>
      <w:r>
        <w:t xml:space="preserve">También se observa una democratización del uso de la inteligencia artificial por parte de la sociedad española, especialmente con herramientas como </w:t>
      </w:r>
      <w:r>
        <w:rPr>
          <w:b/>
        </w:rPr>
        <w:t>ChatGPT, que ha seguido creciendo</w:t>
      </w:r>
      <w:r>
        <w:t xml:space="preserve"> tanto en audiencia mensual, situándose en los 6 millones de usuarios mensuales, como en usuarios diarios y tiempo dedicado, en torno a 1 hora y media por persona al mes. </w:t>
      </w:r>
    </w:p>
    <w:p w14:paraId="7B7EFC80" w14:textId="77777777" w:rsidR="00926184" w:rsidRDefault="00926184">
      <w:pPr>
        <w:spacing w:after="0" w:line="240" w:lineRule="auto"/>
        <w:jc w:val="both"/>
      </w:pPr>
    </w:p>
    <w:p w14:paraId="51A9ABA4" w14:textId="77777777" w:rsidR="00926184" w:rsidRDefault="00955C53">
      <w:pPr>
        <w:spacing w:after="0" w:line="240" w:lineRule="auto"/>
        <w:jc w:val="both"/>
        <w:rPr>
          <w:color w:val="000000"/>
          <w:sz w:val="22"/>
          <w:szCs w:val="22"/>
        </w:rPr>
      </w:pPr>
      <w:r>
        <w:t>Tal y como se ha visto anteriormente, el</w:t>
      </w:r>
      <w:r>
        <w:rPr>
          <w:i/>
        </w:rPr>
        <w:t xml:space="preserve"> </w:t>
      </w:r>
      <w:r>
        <w:rPr>
          <w:b/>
          <w:i/>
        </w:rPr>
        <w:t>delivery</w:t>
      </w:r>
      <w:r>
        <w:rPr>
          <w:b/>
        </w:rPr>
        <w:t xml:space="preserve"> </w:t>
      </w:r>
      <w:r>
        <w:t xml:space="preserve">se ha posicionado como un </w:t>
      </w:r>
      <w:r>
        <w:rPr>
          <w:b/>
        </w:rPr>
        <w:t xml:space="preserve">consumo clave de los españoles, </w:t>
      </w:r>
      <w:r>
        <w:t xml:space="preserve">y se observa que cada vez va más ligado a grandes acontecimientos, como los eventos deportivos. Este año, por ejemplo, la </w:t>
      </w:r>
      <w:r>
        <w:rPr>
          <w:b/>
        </w:rPr>
        <w:t>Eurocopa de fútbol</w:t>
      </w:r>
      <w:r>
        <w:t xml:space="preserve"> movilizó las visitas a plataformas de comida </w:t>
      </w:r>
      <w:r>
        <w:lastRenderedPageBreak/>
        <w:t>a domicilio, propiciando importantes picos durante los partidos, hasta del 200% en la final España-Inglaterra</w:t>
      </w:r>
      <w:r>
        <w:rPr>
          <w:color w:val="000000"/>
          <w:sz w:val="22"/>
          <w:szCs w:val="22"/>
        </w:rPr>
        <w:t>.</w:t>
      </w:r>
    </w:p>
    <w:p w14:paraId="752A9734" w14:textId="77777777" w:rsidR="00926184" w:rsidRDefault="00926184">
      <w:pPr>
        <w:spacing w:after="0" w:line="240" w:lineRule="auto"/>
        <w:jc w:val="both"/>
        <w:rPr>
          <w:rFonts w:ascii="Lato" w:eastAsia="Lato" w:hAnsi="Lato" w:cs="Lato"/>
          <w:sz w:val="22"/>
          <w:szCs w:val="22"/>
          <w:highlight w:val="yellow"/>
        </w:rPr>
      </w:pPr>
    </w:p>
    <w:p w14:paraId="7DF7A3EB" w14:textId="77777777" w:rsidR="00926184" w:rsidRDefault="00955C53">
      <w:pPr>
        <w:spacing w:after="0" w:line="240" w:lineRule="auto"/>
        <w:jc w:val="both"/>
      </w:pPr>
      <w:r>
        <w:t xml:space="preserve">Por último, 2024 ha sido un año en el que la sociedad española se ha mostrado interesada por la actualidad cercana, y ha utilizado Internet para ello, valorando especialmente la </w:t>
      </w:r>
      <w:r>
        <w:rPr>
          <w:b/>
        </w:rPr>
        <w:t>información de medios locales</w:t>
      </w:r>
      <w:r>
        <w:t>. Entre los acontecimientos que han tenido lugar este año, la trágica llegada de la DANA a España incrementó el consumo de noticias, especialmente en medios valencianos, cuya consulta creció un 90%.</w:t>
      </w:r>
    </w:p>
    <w:p w14:paraId="20585C4B" w14:textId="77777777" w:rsidR="00926184" w:rsidRDefault="00926184">
      <w:pPr>
        <w:spacing w:after="0" w:line="240" w:lineRule="auto"/>
        <w:jc w:val="both"/>
      </w:pPr>
    </w:p>
    <w:p w14:paraId="7E832AC8" w14:textId="289284F6" w:rsidR="00926184" w:rsidRPr="00955C53" w:rsidRDefault="00955C53" w:rsidP="00955C53">
      <w:pPr>
        <w:spacing w:after="0" w:line="240" w:lineRule="auto"/>
        <w:jc w:val="both"/>
        <w:rPr>
          <w:b/>
          <w:color w:val="FF0000"/>
        </w:rPr>
      </w:pPr>
      <w:r>
        <w:t>Habrá que esperar para ver cómo siguen avanzando estas tendencias y qué nos deparará 2025.</w:t>
      </w:r>
    </w:p>
    <w:p w14:paraId="6B9D43DA" w14:textId="77777777" w:rsidR="00926184" w:rsidRDefault="00926184">
      <w:pPr>
        <w:spacing w:after="0" w:line="276" w:lineRule="auto"/>
        <w:jc w:val="both"/>
        <w:rPr>
          <w:b/>
          <w:color w:val="EA5B0C"/>
          <w:sz w:val="18"/>
          <w:szCs w:val="18"/>
        </w:rPr>
      </w:pPr>
    </w:p>
    <w:p w14:paraId="76CB4787" w14:textId="77777777" w:rsidR="00812BD9" w:rsidRDefault="00812BD9">
      <w:pPr>
        <w:spacing w:after="0" w:line="276" w:lineRule="auto"/>
        <w:jc w:val="both"/>
        <w:rPr>
          <w:b/>
          <w:color w:val="EA5B0C"/>
          <w:sz w:val="18"/>
          <w:szCs w:val="18"/>
        </w:rPr>
      </w:pPr>
    </w:p>
    <w:p w14:paraId="0B40EE65" w14:textId="77777777" w:rsidR="00926184" w:rsidRDefault="00926184">
      <w:pPr>
        <w:spacing w:after="0" w:line="276" w:lineRule="auto"/>
        <w:jc w:val="both"/>
        <w:rPr>
          <w:b/>
          <w:color w:val="EA5B0C"/>
          <w:sz w:val="18"/>
          <w:szCs w:val="18"/>
        </w:rPr>
      </w:pPr>
    </w:p>
    <w:p w14:paraId="0FA42264" w14:textId="77777777" w:rsidR="00812BD9" w:rsidRPr="00812BD9" w:rsidRDefault="00812BD9">
      <w:pPr>
        <w:spacing w:after="0" w:line="276" w:lineRule="auto"/>
        <w:jc w:val="both"/>
        <w:rPr>
          <w:b/>
          <w:color w:val="EA5B0C"/>
          <w:sz w:val="18"/>
          <w:szCs w:val="18"/>
        </w:rPr>
      </w:pPr>
      <w:r w:rsidRPr="00812BD9">
        <w:rPr>
          <w:b/>
          <w:color w:val="EA5B0C"/>
          <w:sz w:val="18"/>
          <w:szCs w:val="18"/>
        </w:rPr>
        <w:t>Acerca de Wrapped Digital 2024:</w:t>
      </w:r>
    </w:p>
    <w:p w14:paraId="5B1DBB10" w14:textId="65E77614" w:rsidR="00812BD9" w:rsidRDefault="00812BD9">
      <w:pPr>
        <w:spacing w:after="0" w:line="276" w:lineRule="auto"/>
        <w:jc w:val="both"/>
        <w:rPr>
          <w:sz w:val="16"/>
          <w:szCs w:val="16"/>
        </w:rPr>
      </w:pPr>
      <w:r w:rsidRPr="00812BD9">
        <w:rPr>
          <w:b/>
          <w:color w:val="EA5B0C"/>
          <w:sz w:val="18"/>
          <w:szCs w:val="18"/>
        </w:rPr>
        <w:br/>
      </w:r>
      <w:r w:rsidRPr="00812BD9">
        <w:rPr>
          <w:sz w:val="16"/>
          <w:szCs w:val="16"/>
        </w:rPr>
        <w:t>GfK DAM sobre los sites (web y app) más visitados en España.</w:t>
      </w:r>
    </w:p>
    <w:p w14:paraId="37EBD1C2" w14:textId="6A62C502" w:rsidR="00812BD9" w:rsidRDefault="00812BD9">
      <w:pPr>
        <w:spacing w:after="0" w:line="276" w:lineRule="auto"/>
        <w:jc w:val="both"/>
        <w:rPr>
          <w:sz w:val="16"/>
          <w:szCs w:val="16"/>
        </w:rPr>
      </w:pPr>
      <w:r w:rsidRPr="00812BD9">
        <w:rPr>
          <w:sz w:val="16"/>
          <w:szCs w:val="16"/>
        </w:rPr>
        <w:t>General y categorías Redes Sociales, Travel, Banking</w:t>
      </w:r>
      <w:r w:rsidR="00235ABB">
        <w:rPr>
          <w:sz w:val="16"/>
          <w:szCs w:val="16"/>
        </w:rPr>
        <w:t xml:space="preserve"> y Delivery.</w:t>
      </w:r>
    </w:p>
    <w:p w14:paraId="6F4E4C26" w14:textId="7BA9D90B" w:rsidR="00926184" w:rsidRPr="00812BD9" w:rsidRDefault="00812BD9">
      <w:pPr>
        <w:spacing w:after="0" w:line="276" w:lineRule="auto"/>
        <w:jc w:val="both"/>
        <w:rPr>
          <w:sz w:val="16"/>
          <w:szCs w:val="16"/>
        </w:rPr>
      </w:pPr>
      <w:r w:rsidRPr="00812BD9">
        <w:rPr>
          <w:sz w:val="16"/>
          <w:szCs w:val="16"/>
        </w:rPr>
        <w:t>Métrica: Media mensual de usuarios únicos. Período: enero-octubre 2024.</w:t>
      </w:r>
    </w:p>
    <w:p w14:paraId="29CC5175" w14:textId="77777777" w:rsidR="00926184" w:rsidRDefault="00926184">
      <w:pPr>
        <w:spacing w:after="0" w:line="276" w:lineRule="auto"/>
        <w:jc w:val="both"/>
        <w:rPr>
          <w:b/>
          <w:color w:val="EA5B0C"/>
          <w:sz w:val="18"/>
          <w:szCs w:val="18"/>
        </w:rPr>
      </w:pPr>
    </w:p>
    <w:p w14:paraId="1E5DAE87" w14:textId="77777777" w:rsidR="00926184" w:rsidRDefault="00926184">
      <w:pPr>
        <w:spacing w:after="0" w:line="276" w:lineRule="auto"/>
        <w:jc w:val="both"/>
        <w:rPr>
          <w:b/>
          <w:color w:val="EA5B0C"/>
          <w:sz w:val="18"/>
          <w:szCs w:val="18"/>
        </w:rPr>
      </w:pPr>
    </w:p>
    <w:p w14:paraId="0AFD2D4A" w14:textId="77777777" w:rsidR="00926184" w:rsidRDefault="00955C53">
      <w:pPr>
        <w:spacing w:after="0" w:line="276" w:lineRule="auto"/>
        <w:jc w:val="both"/>
        <w:rPr>
          <w:b/>
          <w:color w:val="EA5B0C"/>
          <w:sz w:val="18"/>
          <w:szCs w:val="18"/>
        </w:rPr>
      </w:pPr>
      <w:r>
        <w:rPr>
          <w:b/>
          <w:color w:val="EA5B0C"/>
          <w:sz w:val="18"/>
          <w:szCs w:val="18"/>
        </w:rPr>
        <w:t>Acerca de GfK DAM</w:t>
      </w:r>
    </w:p>
    <w:p w14:paraId="2DBF24DC" w14:textId="77777777" w:rsidR="00926184" w:rsidRDefault="00955C53">
      <w:pPr>
        <w:spacing w:before="100" w:after="100" w:line="240" w:lineRule="auto"/>
        <w:jc w:val="both"/>
        <w:rPr>
          <w:rFonts w:ascii="Quattrocento Sans" w:eastAsia="Quattrocento Sans" w:hAnsi="Quattrocento Sans" w:cs="Quattrocento Sans"/>
          <w:color w:val="000000"/>
          <w:sz w:val="18"/>
          <w:szCs w:val="18"/>
        </w:rPr>
      </w:pPr>
      <w:r>
        <w:rPr>
          <w:sz w:val="16"/>
          <w:szCs w:val="16"/>
        </w:rPr>
        <w:t xml:space="preserve">Desde 2022, GfK DAM es el medidor oficial del consumo digital en España designado y ratificado por la industria digital. Mediante su panel </w:t>
      </w:r>
      <w:r>
        <w:rPr>
          <w:i/>
          <w:sz w:val="16"/>
          <w:szCs w:val="16"/>
        </w:rPr>
        <w:t>single-source</w:t>
      </w:r>
      <w:r>
        <w:rPr>
          <w:sz w:val="16"/>
          <w:szCs w:val="16"/>
        </w:rPr>
        <w:t>, monitoriza la navegación de los individuos independientemente del dispositivo, formato y contenido que estén consumiendo. De esta forma, proporciona información detallada de todas las actividades que al cabo del día realizan los usuarios en Internet y sus datos actúan como referencia en el mercado publicitario para medios de comunicación, agencias, anunciantes y administraciones públicas, además de ser la base para la toma de decisiones en decisiones estratégicas cuyo elemento central sea el comportamiento digital de los individuos en España.</w:t>
      </w:r>
      <w:r>
        <w:rPr>
          <w:rFonts w:ascii="Quattrocento Sans" w:eastAsia="Quattrocento Sans" w:hAnsi="Quattrocento Sans" w:cs="Quattrocento Sans"/>
          <w:color w:val="000000"/>
          <w:sz w:val="18"/>
          <w:szCs w:val="18"/>
        </w:rPr>
        <w:br/>
      </w:r>
    </w:p>
    <w:p w14:paraId="18F5CF83" w14:textId="77777777" w:rsidR="00926184" w:rsidRDefault="00955C53">
      <w:pPr>
        <w:spacing w:line="276" w:lineRule="auto"/>
        <w:jc w:val="both"/>
        <w:rPr>
          <w:b/>
          <w:color w:val="EA5B0C"/>
          <w:sz w:val="18"/>
          <w:szCs w:val="18"/>
        </w:rPr>
      </w:pPr>
      <w:r>
        <w:rPr>
          <w:b/>
          <w:color w:val="EA5B0C"/>
          <w:sz w:val="18"/>
          <w:szCs w:val="18"/>
        </w:rPr>
        <w:t xml:space="preserve">GfK: una empresa NIQ </w:t>
      </w:r>
    </w:p>
    <w:p w14:paraId="292681EC" w14:textId="77777777" w:rsidR="00926184" w:rsidRDefault="00955C53">
      <w:pPr>
        <w:spacing w:line="276" w:lineRule="auto"/>
        <w:jc w:val="both"/>
        <w:rPr>
          <w:sz w:val="16"/>
          <w:szCs w:val="16"/>
        </w:rPr>
      </w:pPr>
      <w:r>
        <w:rPr>
          <w:sz w:val="16"/>
          <w:szCs w:val="16"/>
        </w:rPr>
        <w:t xml:space="preserve">GfK se ha ganado la confianza de sus clientes en todo el mundo resolviendo aspectos críticos en su proceso de toma de decisiones. En 2023, GfK se fusionó con NIQ, reuniendo a los dos líderes de la industria con un alcance global incomparable. Juntos impulsan el crecimiento de los clientes brindándoles una comprensión integral del comportamiento de compra de sus consumidores, así como de las dinámicas y tendencias que impactan a sus mercados, marcas y medios. Con una lectura holística de la distribución y la más completa comprensión del consumidor, proporcionados con análisis avanzados a través de plataformas de última generación, NIQ y GfK ofrecen </w:t>
      </w:r>
      <w:hyperlink r:id="rId14">
        <w:r>
          <w:rPr>
            <w:color w:val="EA5B0C"/>
            <w:sz w:val="16"/>
            <w:szCs w:val="16"/>
          </w:rPr>
          <w:t>The Full View™</w:t>
        </w:r>
      </w:hyperlink>
      <w:r>
        <w:rPr>
          <w:sz w:val="16"/>
          <w:szCs w:val="16"/>
        </w:rPr>
        <w:t>, una visión completa del comportamiento de compra de los consumidores.</w:t>
      </w:r>
    </w:p>
    <w:p w14:paraId="45531074" w14:textId="77777777" w:rsidR="00926184" w:rsidRDefault="00955C53">
      <w:pPr>
        <w:spacing w:line="276" w:lineRule="auto"/>
        <w:jc w:val="both"/>
        <w:rPr>
          <w:sz w:val="16"/>
          <w:szCs w:val="16"/>
        </w:rPr>
      </w:pPr>
      <w:r>
        <w:rPr>
          <w:sz w:val="16"/>
          <w:szCs w:val="16"/>
        </w:rPr>
        <w:t>En España ocupamos el segundo lugar en el ranking de nuestro sector elaborado por I+A y contamos con una plantilla superior a las 300 personas, distribuidas en tres unidades de negocio, en nuestras oficinas de Madrid, Barcelona y Valencia.</w:t>
      </w:r>
    </w:p>
    <w:p w14:paraId="1EAB0431" w14:textId="77777777" w:rsidR="00926184" w:rsidRDefault="00955C53">
      <w:pPr>
        <w:spacing w:line="276" w:lineRule="auto"/>
        <w:jc w:val="both"/>
      </w:pPr>
      <w:r>
        <w:rPr>
          <w:sz w:val="16"/>
          <w:szCs w:val="16"/>
        </w:rPr>
        <w:t>Para obtener más información, visita</w:t>
      </w:r>
      <w:r>
        <w:rPr>
          <w:color w:val="EA5B0C"/>
          <w:sz w:val="16"/>
          <w:szCs w:val="16"/>
          <w:u w:val="single"/>
        </w:rPr>
        <w:t xml:space="preserve"> niq.com</w:t>
      </w:r>
      <w:r>
        <w:rPr>
          <w:sz w:val="16"/>
          <w:szCs w:val="16"/>
        </w:rPr>
        <w:t xml:space="preserve"> </w:t>
      </w:r>
    </w:p>
    <w:sectPr w:rsidR="00926184">
      <w:headerReference w:type="default" r:id="rId15"/>
      <w:footerReference w:type="default" r:id="rId16"/>
      <w:headerReference w:type="first" r:id="rId17"/>
      <w:footerReference w:type="first" r:id="rId18"/>
      <w:pgSz w:w="11906" w:h="16838"/>
      <w:pgMar w:top="2835" w:right="1191" w:bottom="1780" w:left="1814" w:header="794" w:footer="59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D8A979" w14:textId="77777777" w:rsidR="00955C53" w:rsidRDefault="00955C53">
      <w:pPr>
        <w:spacing w:after="0" w:line="240" w:lineRule="auto"/>
      </w:pPr>
      <w:r>
        <w:separator/>
      </w:r>
    </w:p>
  </w:endnote>
  <w:endnote w:type="continuationSeparator" w:id="0">
    <w:p w14:paraId="4D68881F" w14:textId="77777777" w:rsidR="00955C53" w:rsidRDefault="00955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BFF5303D-7CB8-4FA1-9751-2698418D648F}"/>
  </w:font>
  <w:font w:name="Quattrocento Sans">
    <w:charset w:val="00"/>
    <w:family w:val="swiss"/>
    <w:pitch w:val="variable"/>
    <w:sig w:usb0="800000BF" w:usb1="4000005B" w:usb2="00000000" w:usb3="00000000" w:csb0="00000001" w:csb1="00000000"/>
    <w:embedRegular r:id="rId2" w:fontKey="{6D3F0B23-71A3-428E-99FB-A3911DC5E2A9}"/>
  </w:font>
  <w:font w:name="Lato">
    <w:panose1 w:val="020F0502020204030203"/>
    <w:charset w:val="00"/>
    <w:family w:val="swiss"/>
    <w:pitch w:val="variable"/>
    <w:sig w:usb0="E10002FF" w:usb1="5000ECFF" w:usb2="00000021" w:usb3="00000000" w:csb0="0000019F" w:csb1="00000000"/>
    <w:embedRegular r:id="rId3" w:fontKey="{DAE86475-E5FF-4FD1-A7F6-E00D4AF7DF3F}"/>
    <w:embedBoldItalic r:id="rId4" w:fontKey="{A3343308-A96A-4C34-938E-DAAD842520DE}"/>
  </w:font>
  <w:font w:name="Calibri">
    <w:panose1 w:val="020F0502020204030204"/>
    <w:charset w:val="00"/>
    <w:family w:val="swiss"/>
    <w:pitch w:val="variable"/>
    <w:sig w:usb0="E4002EFF" w:usb1="C200247B" w:usb2="00000009" w:usb3="00000000" w:csb0="000001FF" w:csb1="00000000"/>
    <w:embedRegular r:id="rId5" w:fontKey="{951A5158-DDE6-4495-95C9-FE5602B9A347}"/>
    <w:embedBoldItalic r:id="rId6" w:fontKey="{8F13AF13-337E-4352-AE27-D62FB8D3E7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D5F14D" w14:textId="77777777" w:rsidR="00926184" w:rsidRDefault="00955C53">
    <w:pPr>
      <w:pBdr>
        <w:top w:val="nil"/>
        <w:left w:val="nil"/>
        <w:bottom w:val="nil"/>
        <w:right w:val="nil"/>
        <w:between w:val="nil"/>
      </w:pBdr>
      <w:spacing w:after="0" w:line="240" w:lineRule="auto"/>
      <w:ind w:right="-113"/>
      <w:jc w:val="right"/>
      <w:rPr>
        <w:sz w:val="14"/>
        <w:szCs w:val="14"/>
      </w:rPr>
    </w:pPr>
    <w:r>
      <w:fldChar w:fldCharType="begin"/>
    </w:r>
    <w:r>
      <w:instrText>PAGE</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745B7" w14:textId="77777777" w:rsidR="00926184" w:rsidRDefault="00926184">
    <w:pPr>
      <w:pBdr>
        <w:top w:val="nil"/>
        <w:left w:val="nil"/>
        <w:bottom w:val="nil"/>
        <w:right w:val="nil"/>
        <w:between w:val="nil"/>
      </w:pBdr>
      <w:spacing w:after="0" w:line="240" w:lineRule="auto"/>
      <w:ind w:right="-113"/>
      <w:jc w:val="right"/>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5324E7" w14:textId="77777777" w:rsidR="00955C53" w:rsidRDefault="00955C53">
      <w:pPr>
        <w:spacing w:after="0" w:line="240" w:lineRule="auto"/>
      </w:pPr>
      <w:r>
        <w:separator/>
      </w:r>
    </w:p>
  </w:footnote>
  <w:footnote w:type="continuationSeparator" w:id="0">
    <w:p w14:paraId="7A850E40" w14:textId="77777777" w:rsidR="00955C53" w:rsidRDefault="00955C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C0769B" w14:textId="77777777" w:rsidR="00926184" w:rsidRDefault="00955C53">
    <w:pPr>
      <w:pBdr>
        <w:top w:val="nil"/>
        <w:left w:val="nil"/>
        <w:bottom w:val="nil"/>
        <w:right w:val="nil"/>
        <w:between w:val="nil"/>
      </w:pBdr>
      <w:tabs>
        <w:tab w:val="center" w:pos="4513"/>
        <w:tab w:val="right" w:pos="9026"/>
      </w:tabs>
      <w:spacing w:after="0" w:line="240" w:lineRule="auto"/>
    </w:pPr>
    <w:r>
      <w:rPr>
        <w:noProof/>
      </w:rPr>
      <w:drawing>
        <wp:anchor distT="0" distB="0" distL="118872" distR="118872" simplePos="0" relativeHeight="251658240" behindDoc="0" locked="0" layoutInCell="1" hidden="0" allowOverlap="1" wp14:anchorId="4EF43541" wp14:editId="09ABD589">
          <wp:simplePos x="0" y="0"/>
          <wp:positionH relativeFrom="column">
            <wp:posOffset>118872</wp:posOffset>
          </wp:positionH>
          <wp:positionV relativeFrom="paragraph">
            <wp:posOffset>0</wp:posOffset>
          </wp:positionV>
          <wp:extent cx="1440815" cy="610870"/>
          <wp:effectExtent l="0" t="0" r="0" b="0"/>
          <wp:wrapNone/>
          <wp:docPr id="19714292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440815" cy="61087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9F736" w14:textId="590C972C" w:rsidR="004D7F23" w:rsidRDefault="004D7F23">
    <w:pPr>
      <w:pStyle w:val="Encabezado"/>
    </w:pPr>
    <w:r>
      <w:rPr>
        <w:noProof/>
      </w:rPr>
      <w:drawing>
        <wp:inline distT="0" distB="0" distL="0" distR="0" wp14:anchorId="150730DB" wp14:editId="15CAD6B4">
          <wp:extent cx="1550891" cy="657225"/>
          <wp:effectExtent l="0" t="0" r="0" b="0"/>
          <wp:docPr id="1606706179" name="Imagen 5" descr="GfK NIQ – Primeras marcas del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fK NIQ – Primeras marcas del Clu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7254" cy="659921"/>
                  </a:xfrm>
                  <a:prstGeom prst="rect">
                    <a:avLst/>
                  </a:prstGeom>
                  <a:noFill/>
                  <a:ln>
                    <a:noFill/>
                  </a:ln>
                </pic:spPr>
              </pic:pic>
            </a:graphicData>
          </a:graphic>
        </wp:inline>
      </w:drawing>
    </w:r>
  </w:p>
  <w:p w14:paraId="7163F666" w14:textId="5A26C82B" w:rsidR="00926184" w:rsidRDefault="00926184">
    <w:pPr>
      <w:pBdr>
        <w:top w:val="nil"/>
        <w:left w:val="nil"/>
        <w:bottom w:val="nil"/>
        <w:right w:val="nil"/>
        <w:between w:val="nil"/>
      </w:pBdr>
      <w:tabs>
        <w:tab w:val="center" w:pos="4513"/>
        <w:tab w:val="right" w:pos="9026"/>
      </w:tabs>
      <w:spacing w:after="0" w:line="240" w:lineRule="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6184"/>
    <w:rsid w:val="000620BB"/>
    <w:rsid w:val="00073A69"/>
    <w:rsid w:val="000B43D0"/>
    <w:rsid w:val="00235ABB"/>
    <w:rsid w:val="00291B4D"/>
    <w:rsid w:val="00335475"/>
    <w:rsid w:val="003E44B9"/>
    <w:rsid w:val="00427CF7"/>
    <w:rsid w:val="00480FCE"/>
    <w:rsid w:val="004D7F23"/>
    <w:rsid w:val="006A1082"/>
    <w:rsid w:val="007B0165"/>
    <w:rsid w:val="00812BD9"/>
    <w:rsid w:val="00926184"/>
    <w:rsid w:val="00955C53"/>
    <w:rsid w:val="00F02AE3"/>
    <w:rsid w:val="00F0388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CC344"/>
  <w15:docId w15:val="{8299A5DB-780C-49F2-9FD4-830241DA7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color w:val="3B4145"/>
        <w:lang w:val="es-ES" w:eastAsia="es-E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3564"/>
  </w:style>
  <w:style w:type="paragraph" w:styleId="Ttulo1">
    <w:name w:val="heading 1"/>
    <w:aliases w:val="GfK Heading 1"/>
    <w:basedOn w:val="Normal"/>
    <w:next w:val="Normal"/>
    <w:link w:val="Ttulo1Car"/>
    <w:uiPriority w:val="9"/>
    <w:qFormat/>
    <w:pPr>
      <w:keepNext/>
      <w:keepLines/>
      <w:spacing w:after="360" w:line="320" w:lineRule="atLeast"/>
      <w:outlineLvl w:val="0"/>
    </w:pPr>
    <w:rPr>
      <w:rFonts w:asciiTheme="majorHAnsi" w:eastAsiaTheme="majorEastAsia" w:hAnsiTheme="majorHAnsi" w:cstheme="majorBidi"/>
      <w:b/>
      <w:sz w:val="28"/>
      <w:szCs w:val="32"/>
    </w:rPr>
  </w:style>
  <w:style w:type="paragraph" w:styleId="Ttulo2">
    <w:name w:val="heading 2"/>
    <w:aliases w:val="GfK Heading 2"/>
    <w:basedOn w:val="Normal"/>
    <w:next w:val="Normal"/>
    <w:link w:val="Ttulo2Car"/>
    <w:uiPriority w:val="9"/>
    <w:semiHidden/>
    <w:unhideWhenUsed/>
    <w:qFormat/>
    <w:pPr>
      <w:keepNext/>
      <w:keepLines/>
      <w:spacing w:after="100" w:line="280" w:lineRule="atLeast"/>
      <w:outlineLvl w:val="1"/>
    </w:pPr>
    <w:rPr>
      <w:rFonts w:asciiTheme="majorHAnsi" w:eastAsiaTheme="majorEastAsia" w:hAnsiTheme="majorHAnsi" w:cstheme="majorBidi"/>
      <w:b/>
      <w:sz w:val="22"/>
      <w:szCs w:val="26"/>
    </w:rPr>
  </w:style>
  <w:style w:type="paragraph" w:styleId="Ttulo3">
    <w:name w:val="heading 3"/>
    <w:aliases w:val="GfK Heading 3"/>
    <w:basedOn w:val="Normal"/>
    <w:next w:val="Normal"/>
    <w:link w:val="Ttulo3Car"/>
    <w:uiPriority w:val="9"/>
    <w:semiHidden/>
    <w:unhideWhenUsed/>
    <w:qFormat/>
    <w:pPr>
      <w:keepNext/>
      <w:keepLines/>
      <w:spacing w:after="100" w:line="280" w:lineRule="atLeast"/>
      <w:outlineLvl w:val="2"/>
    </w:pPr>
    <w:rPr>
      <w:rFonts w:asciiTheme="majorHAnsi" w:eastAsiaTheme="majorEastAsia" w:hAnsiTheme="majorHAnsi" w:cstheme="majorBidi"/>
      <w:b/>
      <w:sz w:val="22"/>
      <w:szCs w:val="24"/>
    </w:rPr>
  </w:style>
  <w:style w:type="paragraph" w:styleId="Ttulo4">
    <w:name w:val="heading 4"/>
    <w:aliases w:val="GfK Heading 4"/>
    <w:basedOn w:val="Normal"/>
    <w:next w:val="Normal"/>
    <w:link w:val="Ttulo4Car"/>
    <w:uiPriority w:val="9"/>
    <w:semiHidden/>
    <w:unhideWhenUsed/>
    <w:qFormat/>
    <w:pPr>
      <w:keepNext/>
      <w:keepLines/>
      <w:outlineLvl w:val="3"/>
    </w:pPr>
    <w:rPr>
      <w:rFonts w:asciiTheme="majorHAnsi" w:eastAsiaTheme="majorEastAsia" w:hAnsiTheme="majorHAnsi" w:cstheme="majorBidi"/>
      <w:b/>
      <w:iCs/>
    </w:rPr>
  </w:style>
  <w:style w:type="paragraph" w:styleId="Ttulo5">
    <w:name w:val="heading 5"/>
    <w:basedOn w:val="Normal"/>
    <w:next w:val="Normal"/>
    <w:link w:val="Ttulo5Car"/>
    <w:uiPriority w:val="9"/>
    <w:semiHidden/>
    <w:unhideWhenUsed/>
    <w:qFormat/>
    <w:pPr>
      <w:keepNext/>
      <w:keepLines/>
      <w:spacing w:before="200" w:after="0"/>
      <w:outlineLvl w:val="4"/>
    </w:pPr>
    <w:rPr>
      <w:rFonts w:asciiTheme="majorHAnsi" w:eastAsiaTheme="majorEastAsia" w:hAnsiTheme="majorHAnsi" w:cstheme="majorBidi"/>
      <w:color w:val="000000" w:themeColor="accent1" w:themeShade="00"/>
    </w:rPr>
  </w:style>
  <w:style w:type="paragraph" w:styleId="Ttulo6">
    <w:name w:val="heading 6"/>
    <w:basedOn w:val="Normal"/>
    <w:next w:val="Normal"/>
    <w:link w:val="Ttulo6Car"/>
    <w:uiPriority w:val="9"/>
    <w:semiHidden/>
    <w:unhideWhenUsed/>
    <w:qFormat/>
    <w:pPr>
      <w:keepNext/>
      <w:keepLines/>
      <w:spacing w:before="200" w:after="0"/>
      <w:outlineLvl w:val="5"/>
    </w:pPr>
    <w:rPr>
      <w:rFonts w:asciiTheme="majorHAnsi" w:eastAsiaTheme="majorEastAsia" w:hAnsiTheme="majorHAnsi" w:cstheme="majorBidi"/>
      <w:i/>
      <w:iCs/>
      <w:color w:val="000000" w:themeColor="accent1" w:themeShade="00"/>
    </w:rPr>
  </w:style>
  <w:style w:type="paragraph" w:styleId="Ttulo7">
    <w:name w:val="heading 7"/>
    <w:basedOn w:val="Normal"/>
    <w:next w:val="Normal"/>
    <w:link w:val="Ttulo7Car"/>
    <w:uiPriority w:val="9"/>
    <w:semiHidden/>
    <w:unhideWhenUsed/>
    <w:qFormat/>
    <w:pPr>
      <w:keepNext/>
      <w:keepLines/>
      <w:spacing w:before="200" w:after="0"/>
      <w:outlineLvl w:val="6"/>
    </w:pPr>
    <w:rPr>
      <w:rFonts w:asciiTheme="majorHAnsi" w:eastAsiaTheme="majorEastAsia" w:hAnsiTheme="majorHAnsi" w:cstheme="majorBidi"/>
      <w:i/>
      <w:iCs/>
      <w:color w:val="FFFFFF" w:themeColor="text1" w:themeTint="00"/>
    </w:rPr>
  </w:style>
  <w:style w:type="paragraph" w:styleId="Ttulo8">
    <w:name w:val="heading 8"/>
    <w:basedOn w:val="Normal"/>
    <w:next w:val="Normal"/>
    <w:link w:val="Ttulo8Car"/>
    <w:uiPriority w:val="9"/>
    <w:semiHidden/>
    <w:unhideWhenUsed/>
    <w:qFormat/>
    <w:pPr>
      <w:keepNext/>
      <w:keepLines/>
      <w:spacing w:before="200" w:after="0"/>
      <w:outlineLvl w:val="7"/>
    </w:pPr>
    <w:rPr>
      <w:rFonts w:asciiTheme="majorHAnsi" w:eastAsiaTheme="majorEastAsia" w:hAnsiTheme="majorHAnsi" w:cstheme="majorBidi"/>
      <w:color w:val="FFFFFF" w:themeColor="text1" w:themeTint="00"/>
    </w:rPr>
  </w:style>
  <w:style w:type="paragraph" w:styleId="Ttulo9">
    <w:name w:val="heading 9"/>
    <w:basedOn w:val="Normal"/>
    <w:next w:val="Normal"/>
    <w:link w:val="Ttulo9Car"/>
    <w:uiPriority w:val="9"/>
    <w:semiHidden/>
    <w:unhideWhenUsed/>
    <w:qFormat/>
    <w:pPr>
      <w:keepNext/>
      <w:keepLines/>
      <w:spacing w:before="200" w:after="0"/>
      <w:outlineLvl w:val="8"/>
    </w:pPr>
    <w:rPr>
      <w:rFonts w:asciiTheme="majorHAnsi" w:eastAsiaTheme="majorEastAsia" w:hAnsiTheme="majorHAnsi" w:cstheme="majorBidi"/>
      <w:i/>
      <w:iCs/>
      <w:color w:val="FFFFFF" w:themeColor="text1" w:themeTint="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aliases w:val="GfK Title"/>
    <w:basedOn w:val="Normal"/>
    <w:next w:val="Normal"/>
    <w:link w:val="TtuloCar"/>
    <w:uiPriority w:val="10"/>
    <w:qFormat/>
    <w:pPr>
      <w:spacing w:after="0" w:line="240" w:lineRule="auto"/>
      <w:contextualSpacing/>
    </w:pPr>
    <w:rPr>
      <w:rFonts w:asciiTheme="majorHAnsi" w:eastAsiaTheme="majorEastAsia" w:hAnsiTheme="majorHAnsi" w:cstheme="majorBidi"/>
      <w:sz w:val="92"/>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uiPriority w:val="99"/>
    <w:tblPr>
      <w:tblCellMar>
        <w:top w:w="0" w:type="dxa"/>
        <w:left w:w="0" w:type="dxa"/>
        <w:bottom w:w="0" w:type="dxa"/>
        <w:right w:w="0" w:type="dxa"/>
      </w:tblCellMar>
    </w:tblPr>
  </w:style>
  <w:style w:type="character" w:customStyle="1" w:styleId="Heading5Char">
    <w:name w:val="Heading 5 Char"/>
    <w:uiPriority w:val="9"/>
    <w:rPr>
      <w:rFonts w:asciiTheme="majorHAnsi" w:eastAsiaTheme="majorEastAsia" w:hAnsiTheme="majorHAnsi" w:cstheme="majorBidi"/>
      <w:color w:val="000000" w:themeColor="accent1" w:themeShade="00"/>
    </w:rPr>
  </w:style>
  <w:style w:type="character" w:customStyle="1" w:styleId="Heading6Char">
    <w:name w:val="Heading 6 Char"/>
    <w:uiPriority w:val="9"/>
    <w:rPr>
      <w:rFonts w:asciiTheme="majorHAnsi" w:eastAsiaTheme="majorEastAsia" w:hAnsiTheme="majorHAnsi" w:cstheme="majorBidi"/>
      <w:i/>
      <w:iCs/>
      <w:color w:val="000000" w:themeColor="accent1" w:themeShade="00"/>
    </w:rPr>
  </w:style>
  <w:style w:type="character" w:customStyle="1" w:styleId="Heading7Char">
    <w:name w:val="Heading 7 Char"/>
    <w:uiPriority w:val="9"/>
    <w:rPr>
      <w:rFonts w:asciiTheme="majorHAnsi" w:eastAsiaTheme="majorEastAsia" w:hAnsiTheme="majorHAnsi" w:cstheme="majorBidi"/>
      <w:i/>
      <w:iCs/>
      <w:color w:val="FFFFFF" w:themeColor="text1" w:themeTint="00"/>
    </w:rPr>
  </w:style>
  <w:style w:type="character" w:customStyle="1" w:styleId="Heading8Char">
    <w:name w:val="Heading 8 Char"/>
    <w:uiPriority w:val="9"/>
    <w:rPr>
      <w:rFonts w:asciiTheme="majorHAnsi" w:eastAsiaTheme="majorEastAsia" w:hAnsiTheme="majorHAnsi" w:cstheme="majorBidi"/>
      <w:color w:val="FFFFFF" w:themeColor="text1" w:themeTint="00"/>
      <w:sz w:val="20"/>
      <w:szCs w:val="20"/>
    </w:rPr>
  </w:style>
  <w:style w:type="character" w:customStyle="1" w:styleId="Heading9Char">
    <w:name w:val="Heading 9 Char"/>
    <w:uiPriority w:val="9"/>
    <w:rPr>
      <w:rFonts w:asciiTheme="majorHAnsi" w:eastAsiaTheme="majorEastAsia" w:hAnsiTheme="majorHAnsi" w:cstheme="majorBidi"/>
      <w:i/>
      <w:iCs/>
      <w:color w:val="FFFFFF" w:themeColor="text1" w:themeTint="00"/>
      <w:sz w:val="20"/>
      <w:szCs w:val="20"/>
    </w:rPr>
  </w:style>
  <w:style w:type="character" w:customStyle="1" w:styleId="QuoteChar">
    <w:name w:val="Quote Char"/>
    <w:uiPriority w:val="29"/>
    <w:rPr>
      <w:i/>
      <w:iCs/>
      <w:color w:val="3B4145" w:themeColor="text1"/>
    </w:rPr>
  </w:style>
  <w:style w:type="character" w:customStyle="1" w:styleId="IntenseQuoteChar">
    <w:name w:val="Intense Quote Char"/>
    <w:uiPriority w:val="30"/>
    <w:rPr>
      <w:b/>
      <w:bCs/>
      <w:i/>
      <w:iCs/>
      <w:color w:val="6A757C" w:themeColor="accent1"/>
    </w:rPr>
  </w:style>
  <w:style w:type="character" w:customStyle="1" w:styleId="FootnoteTextChar">
    <w:name w:val="Footnote Text Char"/>
    <w:uiPriority w:val="99"/>
    <w:semiHidden/>
    <w:rPr>
      <w:sz w:val="20"/>
      <w:szCs w:val="20"/>
    </w:rPr>
  </w:style>
  <w:style w:type="character" w:customStyle="1" w:styleId="EndnoteTextChar">
    <w:name w:val="Endnote Text Char"/>
    <w:uiPriority w:val="99"/>
    <w:semiHidden/>
    <w:rPr>
      <w:sz w:val="20"/>
      <w:szCs w:val="20"/>
    </w:rPr>
  </w:style>
  <w:style w:type="character" w:customStyle="1" w:styleId="PlainTextChar">
    <w:name w:val="Plain Text Char"/>
    <w:uiPriority w:val="99"/>
    <w:rPr>
      <w:rFonts w:ascii="Courier New" w:hAnsi="Courier New" w:cs="Courier New"/>
      <w:sz w:val="21"/>
      <w:szCs w:val="21"/>
    </w:rPr>
  </w:style>
  <w:style w:type="character" w:customStyle="1" w:styleId="Heading1Char">
    <w:name w:val="Heading 1 Char"/>
    <w:uiPriority w:val="9"/>
    <w:rPr>
      <w:rFonts w:asciiTheme="majorHAnsi" w:eastAsiaTheme="majorEastAsia" w:hAnsiTheme="majorHAnsi" w:cstheme="majorBidi"/>
      <w:b/>
      <w:bCs/>
      <w:color w:val="000000" w:themeColor="accent1" w:themeShade="00"/>
      <w:sz w:val="28"/>
      <w:szCs w:val="28"/>
    </w:rPr>
  </w:style>
  <w:style w:type="character" w:customStyle="1" w:styleId="Heading2Char">
    <w:name w:val="Heading 2 Char"/>
    <w:uiPriority w:val="9"/>
    <w:rPr>
      <w:rFonts w:asciiTheme="majorHAnsi" w:eastAsiaTheme="majorEastAsia" w:hAnsiTheme="majorHAnsi" w:cstheme="majorBidi"/>
      <w:b/>
      <w:bCs/>
      <w:color w:val="6A757C" w:themeColor="accent1"/>
      <w:sz w:val="26"/>
      <w:szCs w:val="26"/>
    </w:rPr>
  </w:style>
  <w:style w:type="character" w:customStyle="1" w:styleId="Heading3Char">
    <w:name w:val="Heading 3 Char"/>
    <w:uiPriority w:val="9"/>
    <w:rPr>
      <w:rFonts w:asciiTheme="majorHAnsi" w:eastAsiaTheme="majorEastAsia" w:hAnsiTheme="majorHAnsi" w:cstheme="majorBidi"/>
      <w:b/>
      <w:bCs/>
      <w:color w:val="6A757C" w:themeColor="accent1"/>
    </w:rPr>
  </w:style>
  <w:style w:type="character" w:customStyle="1" w:styleId="Heading4Char">
    <w:name w:val="Heading 4 Char"/>
    <w:uiPriority w:val="9"/>
    <w:rPr>
      <w:rFonts w:asciiTheme="majorHAnsi" w:eastAsiaTheme="majorEastAsia" w:hAnsiTheme="majorHAnsi" w:cstheme="majorBidi"/>
      <w:b/>
      <w:bCs/>
      <w:i/>
      <w:iCs/>
      <w:color w:val="6A757C" w:themeColor="accent1"/>
    </w:rPr>
  </w:style>
  <w:style w:type="character" w:customStyle="1" w:styleId="Ttulo5Car">
    <w:name w:val="Título 5 Car"/>
    <w:link w:val="Ttulo5"/>
    <w:uiPriority w:val="9"/>
    <w:rPr>
      <w:rFonts w:asciiTheme="majorHAnsi" w:eastAsiaTheme="majorEastAsia" w:hAnsiTheme="majorHAnsi" w:cstheme="majorBidi"/>
      <w:color w:val="000000" w:themeColor="accent1" w:themeShade="00"/>
    </w:rPr>
  </w:style>
  <w:style w:type="character" w:customStyle="1" w:styleId="Ttulo6Car">
    <w:name w:val="Título 6 Car"/>
    <w:link w:val="Ttulo6"/>
    <w:uiPriority w:val="9"/>
    <w:rPr>
      <w:rFonts w:asciiTheme="majorHAnsi" w:eastAsiaTheme="majorEastAsia" w:hAnsiTheme="majorHAnsi" w:cstheme="majorBidi"/>
      <w:i/>
      <w:iCs/>
      <w:color w:val="000000" w:themeColor="accent1" w:themeShade="00"/>
    </w:rPr>
  </w:style>
  <w:style w:type="character" w:customStyle="1" w:styleId="Ttulo7Car">
    <w:name w:val="Título 7 Car"/>
    <w:link w:val="Ttulo7"/>
    <w:uiPriority w:val="9"/>
    <w:rPr>
      <w:rFonts w:asciiTheme="majorHAnsi" w:eastAsiaTheme="majorEastAsia" w:hAnsiTheme="majorHAnsi" w:cstheme="majorBidi"/>
      <w:i/>
      <w:iCs/>
      <w:color w:val="FFFFFF" w:themeColor="text1" w:themeTint="00"/>
    </w:rPr>
  </w:style>
  <w:style w:type="character" w:customStyle="1" w:styleId="Ttulo8Car">
    <w:name w:val="Título 8 Car"/>
    <w:link w:val="Ttulo8"/>
    <w:uiPriority w:val="9"/>
    <w:rPr>
      <w:rFonts w:asciiTheme="majorHAnsi" w:eastAsiaTheme="majorEastAsia" w:hAnsiTheme="majorHAnsi" w:cstheme="majorBidi"/>
      <w:color w:val="FFFFFF" w:themeColor="text1" w:themeTint="00"/>
      <w:sz w:val="20"/>
      <w:szCs w:val="20"/>
    </w:rPr>
  </w:style>
  <w:style w:type="character" w:customStyle="1" w:styleId="Ttulo9Car">
    <w:name w:val="Título 9 Car"/>
    <w:link w:val="Ttulo9"/>
    <w:uiPriority w:val="9"/>
    <w:rPr>
      <w:rFonts w:asciiTheme="majorHAnsi" w:eastAsiaTheme="majorEastAsia" w:hAnsiTheme="majorHAnsi" w:cstheme="majorBidi"/>
      <w:i/>
      <w:iCs/>
      <w:color w:val="FFFFFF" w:themeColor="text1" w:themeTint="00"/>
      <w:sz w:val="20"/>
      <w:szCs w:val="20"/>
    </w:rPr>
  </w:style>
  <w:style w:type="character" w:customStyle="1" w:styleId="TitleChar">
    <w:name w:val="Title Char"/>
    <w:uiPriority w:val="10"/>
    <w:rPr>
      <w:rFonts w:asciiTheme="majorHAnsi" w:eastAsiaTheme="majorEastAsia" w:hAnsiTheme="majorHAnsi" w:cstheme="majorBidi"/>
      <w:color w:val="000000" w:themeColor="text2" w:themeShade="00"/>
      <w:spacing w:val="5"/>
      <w:sz w:val="52"/>
      <w:szCs w:val="52"/>
    </w:rPr>
  </w:style>
  <w:style w:type="character" w:customStyle="1" w:styleId="SubtitleChar">
    <w:name w:val="Subtitle Char"/>
    <w:uiPriority w:val="11"/>
    <w:rPr>
      <w:rFonts w:asciiTheme="majorHAnsi" w:eastAsiaTheme="majorEastAsia" w:hAnsiTheme="majorHAnsi" w:cstheme="majorBidi"/>
      <w:i/>
      <w:iCs/>
      <w:color w:val="6A757C" w:themeColor="accent1"/>
      <w:spacing w:val="15"/>
      <w:sz w:val="24"/>
      <w:szCs w:val="24"/>
    </w:rPr>
  </w:style>
  <w:style w:type="character" w:styleId="nfasisintenso">
    <w:name w:val="Intense Emphasis"/>
    <w:uiPriority w:val="21"/>
    <w:qFormat/>
    <w:rPr>
      <w:b/>
      <w:bCs/>
      <w:i/>
      <w:iCs/>
      <w:color w:val="6A757C" w:themeColor="accent1"/>
    </w:rPr>
  </w:style>
  <w:style w:type="paragraph" w:styleId="Cita">
    <w:name w:val="Quote"/>
    <w:basedOn w:val="Normal"/>
    <w:next w:val="Normal"/>
    <w:link w:val="CitaCar"/>
    <w:uiPriority w:val="29"/>
    <w:qFormat/>
    <w:rPr>
      <w:i/>
      <w:iCs/>
    </w:rPr>
  </w:style>
  <w:style w:type="character" w:customStyle="1" w:styleId="CitaCar">
    <w:name w:val="Cita Car"/>
    <w:link w:val="Cita"/>
    <w:uiPriority w:val="29"/>
    <w:rPr>
      <w:i/>
      <w:iCs/>
      <w:color w:val="3B4145" w:themeColor="text1"/>
    </w:rPr>
  </w:style>
  <w:style w:type="paragraph" w:styleId="Citadestacada">
    <w:name w:val="Intense Quote"/>
    <w:basedOn w:val="Normal"/>
    <w:next w:val="Normal"/>
    <w:link w:val="CitadestacadaCar"/>
    <w:uiPriority w:val="30"/>
    <w:qFormat/>
    <w:pPr>
      <w:pBdr>
        <w:bottom w:val="single" w:sz="4" w:space="4" w:color="6A757C" w:themeColor="accent1"/>
      </w:pBdr>
      <w:spacing w:before="200" w:after="280"/>
      <w:ind w:left="936" w:right="936"/>
    </w:pPr>
    <w:rPr>
      <w:b/>
      <w:bCs/>
      <w:i/>
      <w:iCs/>
      <w:color w:val="6A757C" w:themeColor="accent1"/>
    </w:rPr>
  </w:style>
  <w:style w:type="character" w:customStyle="1" w:styleId="CitadestacadaCar">
    <w:name w:val="Cita destacada Car"/>
    <w:link w:val="Citadestacada"/>
    <w:uiPriority w:val="30"/>
    <w:rPr>
      <w:b/>
      <w:bCs/>
      <w:i/>
      <w:iCs/>
      <w:color w:val="6A757C" w:themeColor="accent1"/>
    </w:rPr>
  </w:style>
  <w:style w:type="character" w:styleId="Referenciasutil">
    <w:name w:val="Subtle Reference"/>
    <w:uiPriority w:val="31"/>
    <w:qFormat/>
    <w:rPr>
      <w:smallCaps/>
      <w:color w:val="4368BD" w:themeColor="accent2"/>
      <w:u w:val="single"/>
    </w:rPr>
  </w:style>
  <w:style w:type="character" w:styleId="Referenciaintensa">
    <w:name w:val="Intense Reference"/>
    <w:uiPriority w:val="32"/>
    <w:qFormat/>
    <w:rPr>
      <w:b/>
      <w:bCs/>
      <w:smallCaps/>
      <w:color w:val="4368BD" w:themeColor="accent2"/>
      <w:spacing w:val="5"/>
      <w:u w:val="single"/>
    </w:rPr>
  </w:style>
  <w:style w:type="character" w:styleId="Ttulodellibro">
    <w:name w:val="Book Title"/>
    <w:uiPriority w:val="33"/>
    <w:qFormat/>
    <w:rPr>
      <w:b/>
      <w:bCs/>
      <w:smallCaps/>
      <w:spacing w:val="5"/>
    </w:rPr>
  </w:style>
  <w:style w:type="paragraph" w:styleId="Textonotapie">
    <w:name w:val="footnote text"/>
    <w:basedOn w:val="Normal"/>
    <w:link w:val="TextonotapieCar"/>
    <w:uiPriority w:val="99"/>
    <w:semiHidden/>
    <w:unhideWhenUsed/>
    <w:pPr>
      <w:spacing w:after="0" w:line="240" w:lineRule="auto"/>
    </w:pPr>
  </w:style>
  <w:style w:type="character" w:customStyle="1" w:styleId="TextonotapieCar">
    <w:name w:val="Texto nota pie Car"/>
    <w:link w:val="Textonotapie"/>
    <w:uiPriority w:val="99"/>
    <w:semiHidden/>
    <w:rPr>
      <w:sz w:val="20"/>
      <w:szCs w:val="20"/>
    </w:rPr>
  </w:style>
  <w:style w:type="character" w:styleId="Refdenotaalpie">
    <w:name w:val="footnote reference"/>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line="240" w:lineRule="auto"/>
    </w:pPr>
  </w:style>
  <w:style w:type="character" w:customStyle="1" w:styleId="TextonotaalfinalCar">
    <w:name w:val="Texto nota al final Car"/>
    <w:link w:val="Textonotaalfinal"/>
    <w:uiPriority w:val="99"/>
    <w:semiHidden/>
    <w:rPr>
      <w:sz w:val="20"/>
      <w:szCs w:val="20"/>
    </w:rPr>
  </w:style>
  <w:style w:type="character" w:styleId="Refdenotaalfinal">
    <w:name w:val="endnote reference"/>
    <w:uiPriority w:val="99"/>
    <w:semiHidden/>
    <w:unhideWhenUsed/>
    <w:rPr>
      <w:vertAlign w:val="superscript"/>
    </w:rPr>
  </w:style>
  <w:style w:type="paragraph" w:styleId="Textosinformato">
    <w:name w:val="Plain Text"/>
    <w:basedOn w:val="Normal"/>
    <w:link w:val="TextosinformatoCar"/>
    <w:uiPriority w:val="99"/>
    <w:semiHidden/>
    <w:unhideWhenUsed/>
    <w:pPr>
      <w:spacing w:after="0" w:line="240" w:lineRule="auto"/>
    </w:pPr>
    <w:rPr>
      <w:rFonts w:ascii="Courier New" w:hAnsi="Courier New" w:cs="Courier New"/>
      <w:sz w:val="21"/>
      <w:szCs w:val="21"/>
    </w:rPr>
  </w:style>
  <w:style w:type="character" w:customStyle="1" w:styleId="TextosinformatoCar">
    <w:name w:val="Texto sin formato Car"/>
    <w:link w:val="Textosinformato"/>
    <w:uiPriority w:val="99"/>
    <w:rPr>
      <w:rFonts w:ascii="Courier New" w:hAnsi="Courier New" w:cs="Courier New"/>
      <w:sz w:val="21"/>
      <w:szCs w:val="21"/>
    </w:rPr>
  </w:style>
  <w:style w:type="character" w:customStyle="1" w:styleId="HeaderChar">
    <w:name w:val="Header Char"/>
    <w:uiPriority w:val="99"/>
  </w:style>
  <w:style w:type="character" w:customStyle="1" w:styleId="FooterChar">
    <w:name w:val="Footer Char"/>
    <w:uiPriority w:val="99"/>
  </w:style>
  <w:style w:type="paragraph" w:styleId="Descripcin">
    <w:name w:val="caption"/>
    <w:basedOn w:val="Normal"/>
    <w:next w:val="Normal"/>
    <w:uiPriority w:val="35"/>
    <w:unhideWhenUsed/>
    <w:qFormat/>
    <w:pPr>
      <w:spacing w:after="200" w:line="240" w:lineRule="auto"/>
    </w:pPr>
    <w:rPr>
      <w:i/>
      <w:iCs/>
      <w:color w:val="EA5B0C" w:themeColor="text2"/>
      <w:sz w:val="18"/>
      <w:szCs w:val="18"/>
    </w:rPr>
  </w:style>
  <w:style w:type="paragraph" w:styleId="Sinespaciado">
    <w:name w:val="No Spacing"/>
    <w:aliases w:val="GfK No space after"/>
    <w:uiPriority w:val="7"/>
    <w:qFormat/>
    <w:pPr>
      <w:spacing w:after="0"/>
    </w:pPr>
  </w:style>
  <w:style w:type="paragraph" w:styleId="Encabezado">
    <w:name w:val="header"/>
    <w:aliases w:val="GfK Header"/>
    <w:basedOn w:val="Normal"/>
    <w:link w:val="EncabezadoCar"/>
    <w:uiPriority w:val="99"/>
    <w:unhideWhenUsed/>
    <w:pPr>
      <w:tabs>
        <w:tab w:val="center" w:pos="4513"/>
        <w:tab w:val="right" w:pos="9026"/>
      </w:tabs>
      <w:spacing w:after="0" w:line="240" w:lineRule="auto"/>
    </w:pPr>
  </w:style>
  <w:style w:type="character" w:customStyle="1" w:styleId="EncabezadoCar">
    <w:name w:val="Encabezado Car"/>
    <w:aliases w:val="GfK Header Car"/>
    <w:basedOn w:val="Fuentedeprrafopredeter"/>
    <w:link w:val="Encabezado"/>
    <w:uiPriority w:val="99"/>
    <w:rPr>
      <w:lang w:val="en-US"/>
    </w:rPr>
  </w:style>
  <w:style w:type="paragraph" w:styleId="Piedepgina">
    <w:name w:val="footer"/>
    <w:aliases w:val="GfK Footer"/>
    <w:basedOn w:val="Normal"/>
    <w:link w:val="PiedepginaCar"/>
    <w:uiPriority w:val="38"/>
    <w:pPr>
      <w:spacing w:after="0" w:line="240" w:lineRule="auto"/>
      <w:ind w:right="-113"/>
      <w:jc w:val="right"/>
    </w:pPr>
    <w:rPr>
      <w:sz w:val="14"/>
    </w:rPr>
  </w:style>
  <w:style w:type="character" w:customStyle="1" w:styleId="PiedepginaCar">
    <w:name w:val="Pie de página Car"/>
    <w:aliases w:val="GfK Footer Car"/>
    <w:basedOn w:val="Fuentedeprrafopredeter"/>
    <w:link w:val="Piedepgina"/>
    <w:uiPriority w:val="38"/>
    <w:rPr>
      <w:sz w:val="14"/>
      <w:lang w:val="en-US"/>
    </w:rPr>
  </w:style>
  <w:style w:type="table" w:styleId="Tablaconcuadrcula">
    <w:name w:val="Table Grid"/>
    <w:basedOn w:val="Tabla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pPr>
      <w:spacing w:before="100" w:after="100" w:line="240" w:lineRule="auto"/>
    </w:pPr>
    <w:rPr>
      <w:rFonts w:ascii="Times New Roman" w:eastAsiaTheme="minorEastAsia" w:hAnsi="Times New Roman" w:cs="Times New Roman"/>
      <w:sz w:val="24"/>
      <w:szCs w:val="24"/>
      <w:lang w:eastAsia="de-DE"/>
    </w:rPr>
  </w:style>
  <w:style w:type="paragraph" w:customStyle="1" w:styleId="GfKSenderaddress">
    <w:name w:val="GfK Sender address"/>
    <w:basedOn w:val="Normal"/>
    <w:uiPriority w:val="29"/>
    <w:pPr>
      <w:spacing w:after="0" w:line="240" w:lineRule="auto"/>
    </w:pPr>
    <w:rPr>
      <w:sz w:val="12"/>
    </w:rPr>
  </w:style>
  <w:style w:type="character" w:styleId="Textodelmarcadordeposicin">
    <w:name w:val="Placeholder Text"/>
    <w:basedOn w:val="Fuentedeprrafopredeter"/>
    <w:uiPriority w:val="99"/>
    <w:semiHidden/>
    <w:rPr>
      <w:color w:val="808080"/>
    </w:rPr>
  </w:style>
  <w:style w:type="paragraph" w:customStyle="1" w:styleId="1pt">
    <w:name w:val="1pt"/>
    <w:basedOn w:val="Normal"/>
    <w:uiPriority w:val="39"/>
    <w:pPr>
      <w:spacing w:after="0" w:line="240" w:lineRule="auto"/>
    </w:pPr>
    <w:rPr>
      <w:sz w:val="2"/>
    </w:rPr>
  </w:style>
  <w:style w:type="paragraph" w:customStyle="1" w:styleId="GfKContactdata">
    <w:name w:val="GfK Contact data"/>
    <w:basedOn w:val="Normal"/>
    <w:uiPriority w:val="29"/>
    <w:pPr>
      <w:spacing w:after="0" w:line="190" w:lineRule="atLeast"/>
    </w:pPr>
    <w:rPr>
      <w:sz w:val="14"/>
    </w:rPr>
  </w:style>
  <w:style w:type="character" w:styleId="Textoennegrita">
    <w:name w:val="Strong"/>
    <w:aliases w:val="GfK Bold"/>
    <w:basedOn w:val="Fuentedeprrafopredeter"/>
    <w:uiPriority w:val="22"/>
    <w:qFormat/>
    <w:rPr>
      <w:b/>
      <w:bCs/>
    </w:rPr>
  </w:style>
  <w:style w:type="character" w:styleId="nfasissutil">
    <w:name w:val="Subtle Emphasis"/>
    <w:basedOn w:val="Fuentedeprrafopredeter"/>
    <w:uiPriority w:val="99"/>
    <w:semiHidden/>
    <w:qFormat/>
    <w:rPr>
      <w:i w:val="0"/>
      <w:iCs/>
      <w:color w:val="EA5B0C" w:themeColor="text2"/>
      <w:u w:val="single"/>
    </w:rPr>
  </w:style>
  <w:style w:type="character" w:styleId="Hipervnculovisitado">
    <w:name w:val="FollowedHyperlink"/>
    <w:basedOn w:val="Fuentedeprrafopredeter"/>
    <w:uiPriority w:val="99"/>
    <w:rPr>
      <w:color w:val="EA5B0C" w:themeColor="text2"/>
      <w:u w:val="single"/>
    </w:rPr>
  </w:style>
  <w:style w:type="paragraph" w:customStyle="1" w:styleId="GfKBulletlistgray">
    <w:name w:val="GfK Bullet list gray"/>
    <w:basedOn w:val="Normal"/>
    <w:uiPriority w:val="6"/>
    <w:qFormat/>
    <w:pPr>
      <w:tabs>
        <w:tab w:val="num" w:pos="720"/>
        <w:tab w:val="left" w:pos="2495"/>
      </w:tabs>
      <w:ind w:left="720" w:hanging="720"/>
      <w:contextualSpacing/>
    </w:pPr>
    <w:rPr>
      <w:lang w:val="de-DE"/>
    </w:rPr>
  </w:style>
  <w:style w:type="paragraph" w:customStyle="1" w:styleId="GfKFooterright">
    <w:name w:val="GfK Footer right"/>
    <w:basedOn w:val="Normal"/>
    <w:uiPriority w:val="38"/>
    <w:pPr>
      <w:spacing w:after="0" w:line="240" w:lineRule="auto"/>
      <w:jc w:val="right"/>
    </w:pPr>
    <w:rPr>
      <w:sz w:val="14"/>
    </w:rPr>
  </w:style>
  <w:style w:type="paragraph" w:customStyle="1" w:styleId="GfKNote">
    <w:name w:val="GfK Note"/>
    <w:basedOn w:val="Normal"/>
    <w:uiPriority w:val="11"/>
    <w:qFormat/>
    <w:pPr>
      <w:pBdr>
        <w:top w:val="dotted" w:sz="4" w:space="8" w:color="FFFFFF" w:themeColor="text1" w:themeTint="00"/>
        <w:bottom w:val="dotted" w:sz="4" w:space="5" w:color="FFFFFF" w:themeColor="text1" w:themeTint="00"/>
      </w:pBdr>
    </w:pPr>
    <w:rPr>
      <w:color w:val="FFFFFF" w:themeColor="text1" w:themeTint="00"/>
    </w:rPr>
  </w:style>
  <w:style w:type="paragraph" w:customStyle="1" w:styleId="GfKNumberlist">
    <w:name w:val="GfK Number list"/>
    <w:basedOn w:val="Normal"/>
    <w:uiPriority w:val="6"/>
    <w:qFormat/>
    <w:pPr>
      <w:tabs>
        <w:tab w:val="num" w:pos="720"/>
        <w:tab w:val="left" w:pos="2495"/>
      </w:tabs>
      <w:ind w:left="720" w:hanging="720"/>
      <w:contextualSpacing/>
    </w:pPr>
  </w:style>
  <w:style w:type="paragraph" w:customStyle="1" w:styleId="GfKStamp">
    <w:name w:val="GfK Stamp"/>
    <w:basedOn w:val="Normal"/>
    <w:uiPriority w:val="29"/>
    <w:pPr>
      <w:spacing w:after="0" w:line="240" w:lineRule="auto"/>
      <w:jc w:val="center"/>
    </w:pPr>
    <w:rPr>
      <w:sz w:val="26"/>
    </w:rPr>
  </w:style>
  <w:style w:type="paragraph" w:customStyle="1" w:styleId="GfKSubject">
    <w:name w:val="GfK Subject"/>
    <w:basedOn w:val="Normal"/>
    <w:next w:val="Normal"/>
    <w:uiPriority w:val="2"/>
    <w:pPr>
      <w:spacing w:line="280" w:lineRule="atLeast"/>
    </w:pPr>
    <w:rPr>
      <w:b/>
    </w:rPr>
  </w:style>
  <w:style w:type="table" w:customStyle="1" w:styleId="GfKTable">
    <w:name w:val="GfK Table"/>
    <w:basedOn w:val="Tablanormal"/>
    <w:uiPriority w:val="99"/>
    <w:pPr>
      <w:spacing w:after="0" w:line="288" w:lineRule="auto"/>
    </w:pPr>
    <w:tblPr>
      <w:tblBorders>
        <w:bottom w:val="single" w:sz="4" w:space="0" w:color="3B4145" w:themeColor="text1"/>
        <w:insideH w:val="single" w:sz="4" w:space="0" w:color="3B4145" w:themeColor="text1"/>
      </w:tblBorders>
      <w:tblCellMar>
        <w:top w:w="28" w:type="dxa"/>
        <w:left w:w="85" w:type="dxa"/>
        <w:right w:w="85" w:type="dxa"/>
      </w:tblCellMar>
    </w:tblPr>
    <w:tblStylePr w:type="firstRow">
      <w:rPr>
        <w:b/>
      </w:rPr>
      <w:tblPr/>
      <w:tcPr>
        <w:tcBorders>
          <w:bottom w:val="single" w:sz="8" w:space="0" w:color="3B4145" w:themeColor="text1"/>
        </w:tcBorders>
      </w:tcPr>
    </w:tblStylePr>
    <w:tblStylePr w:type="firstCol">
      <w:tblPr/>
      <w:tcPr>
        <w:shd w:val="clear" w:color="auto" w:fill="FFFFFF" w:themeFill="accent1" w:themeFillTint="00"/>
      </w:tcPr>
    </w:tblStylePr>
  </w:style>
  <w:style w:type="character" w:styleId="Hipervnculo">
    <w:name w:val="Hyperlink"/>
    <w:basedOn w:val="Fuentedeprrafopredeter"/>
    <w:uiPriority w:val="99"/>
    <w:unhideWhenUsed/>
    <w:rPr>
      <w:color w:val="EA5B0C" w:themeColor="text2"/>
      <w:u w:val="single"/>
    </w:rPr>
  </w:style>
  <w:style w:type="character" w:customStyle="1" w:styleId="Ttulo1Car">
    <w:name w:val="Título 1 Car"/>
    <w:aliases w:val="GfK Heading 1 Car"/>
    <w:basedOn w:val="Fuentedeprrafopredeter"/>
    <w:link w:val="Ttulo1"/>
    <w:uiPriority w:val="4"/>
    <w:rPr>
      <w:rFonts w:asciiTheme="majorHAnsi" w:eastAsiaTheme="majorEastAsia" w:hAnsiTheme="majorHAnsi" w:cstheme="majorBidi"/>
      <w:b/>
      <w:sz w:val="28"/>
      <w:szCs w:val="32"/>
      <w:lang w:val="en-US"/>
    </w:rPr>
  </w:style>
  <w:style w:type="paragraph" w:styleId="TtuloTDC">
    <w:name w:val="TOC Heading"/>
    <w:basedOn w:val="Ttulo1"/>
    <w:next w:val="Normal"/>
    <w:uiPriority w:val="39"/>
    <w:pPr>
      <w:spacing w:after="160"/>
    </w:pPr>
  </w:style>
  <w:style w:type="numbering" w:customStyle="1" w:styleId="LB">
    <w:name w:val="L_B"/>
    <w:basedOn w:val="Sinlista"/>
    <w:uiPriority w:val="99"/>
  </w:style>
  <w:style w:type="numbering" w:customStyle="1" w:styleId="LH">
    <w:name w:val="L_H"/>
    <w:basedOn w:val="Sinlista"/>
    <w:uiPriority w:val="99"/>
  </w:style>
  <w:style w:type="numbering" w:customStyle="1" w:styleId="LN">
    <w:name w:val="L_N"/>
    <w:basedOn w:val="LB"/>
    <w:uiPriority w:val="99"/>
  </w:style>
  <w:style w:type="character" w:customStyle="1" w:styleId="TtuloCar">
    <w:name w:val="Título Car"/>
    <w:aliases w:val="GfK Title Car"/>
    <w:basedOn w:val="Fuentedeprrafopredeter"/>
    <w:link w:val="Ttulo"/>
    <w:uiPriority w:val="99"/>
    <w:rPr>
      <w:rFonts w:asciiTheme="majorHAnsi" w:eastAsiaTheme="majorEastAsia" w:hAnsiTheme="majorHAnsi" w:cstheme="majorBidi"/>
      <w:sz w:val="92"/>
      <w:szCs w:val="56"/>
      <w:lang w:val="en-US"/>
    </w:rPr>
  </w:style>
  <w:style w:type="character" w:customStyle="1" w:styleId="Ttulo2Car">
    <w:name w:val="Título 2 Car"/>
    <w:aliases w:val="GfK Heading 2 Car"/>
    <w:basedOn w:val="Fuentedeprrafopredeter"/>
    <w:link w:val="Ttulo2"/>
    <w:uiPriority w:val="4"/>
    <w:rPr>
      <w:rFonts w:asciiTheme="majorHAnsi" w:eastAsiaTheme="majorEastAsia" w:hAnsiTheme="majorHAnsi" w:cstheme="majorBidi"/>
      <w:b/>
      <w:sz w:val="22"/>
      <w:szCs w:val="26"/>
      <w:lang w:val="en-US"/>
    </w:rPr>
  </w:style>
  <w:style w:type="character" w:customStyle="1" w:styleId="Ttulo3Car">
    <w:name w:val="Título 3 Car"/>
    <w:aliases w:val="GfK Heading 3 Car"/>
    <w:basedOn w:val="Fuentedeprrafopredeter"/>
    <w:link w:val="Ttulo3"/>
    <w:uiPriority w:val="4"/>
    <w:rPr>
      <w:rFonts w:asciiTheme="majorHAnsi" w:eastAsiaTheme="majorEastAsia" w:hAnsiTheme="majorHAnsi" w:cstheme="majorBidi"/>
      <w:b/>
      <w:sz w:val="22"/>
      <w:szCs w:val="24"/>
      <w:lang w:val="en-US"/>
    </w:rPr>
  </w:style>
  <w:style w:type="character" w:customStyle="1" w:styleId="Ttulo4Car">
    <w:name w:val="Título 4 Car"/>
    <w:aliases w:val="GfK Heading 4 Car"/>
    <w:basedOn w:val="Fuentedeprrafopredeter"/>
    <w:link w:val="Ttulo4"/>
    <w:uiPriority w:val="4"/>
    <w:rPr>
      <w:rFonts w:asciiTheme="majorHAnsi" w:eastAsiaTheme="majorEastAsia" w:hAnsiTheme="majorHAnsi" w:cstheme="majorBidi"/>
      <w:b/>
      <w:iCs/>
      <w:lang w:val="en-US"/>
    </w:rPr>
  </w:style>
  <w:style w:type="character" w:customStyle="1" w:styleId="SubttuloCar">
    <w:name w:val="Subtítulo Car"/>
    <w:basedOn w:val="Fuentedeprrafopredeter"/>
    <w:uiPriority w:val="1"/>
    <w:rPr>
      <w:rFonts w:eastAsiaTheme="minorEastAsia"/>
      <w:color w:val="FFFFFF" w:themeColor="accent1" w:themeTint="00"/>
      <w:sz w:val="46"/>
      <w:szCs w:val="22"/>
      <w:lang w:val="en-US"/>
    </w:rPr>
  </w:style>
  <w:style w:type="paragraph" w:styleId="TDC1">
    <w:name w:val="toc 1"/>
    <w:basedOn w:val="Normal"/>
    <w:next w:val="Normal"/>
    <w:uiPriority w:val="39"/>
    <w:pPr>
      <w:tabs>
        <w:tab w:val="left" w:pos="567"/>
        <w:tab w:val="right" w:leader="dot" w:pos="8505"/>
      </w:tabs>
      <w:spacing w:before="300" w:after="0"/>
      <w:ind w:left="567" w:right="851" w:hanging="567"/>
    </w:pPr>
    <w:rPr>
      <w:b/>
    </w:rPr>
  </w:style>
  <w:style w:type="paragraph" w:styleId="TDC2">
    <w:name w:val="toc 2"/>
    <w:basedOn w:val="Normal"/>
    <w:next w:val="Normal"/>
    <w:uiPriority w:val="39"/>
    <w:pPr>
      <w:tabs>
        <w:tab w:val="left" w:pos="567"/>
        <w:tab w:val="right" w:pos="8505"/>
      </w:tabs>
      <w:spacing w:after="0"/>
      <w:ind w:left="567" w:right="851" w:hanging="567"/>
    </w:pPr>
  </w:style>
  <w:style w:type="paragraph" w:styleId="TDC3">
    <w:name w:val="toc 3"/>
    <w:basedOn w:val="Normal"/>
    <w:next w:val="Normal"/>
    <w:uiPriority w:val="39"/>
    <w:pPr>
      <w:tabs>
        <w:tab w:val="left" w:pos="567"/>
        <w:tab w:val="right" w:pos="8505"/>
      </w:tabs>
      <w:spacing w:after="0"/>
      <w:ind w:left="567" w:right="851" w:hanging="567"/>
    </w:pPr>
  </w:style>
  <w:style w:type="paragraph" w:customStyle="1" w:styleId="GfKBulletlistorange">
    <w:name w:val="GfK Bullet list orange"/>
    <w:basedOn w:val="Normal"/>
    <w:uiPriority w:val="6"/>
    <w:qFormat/>
    <w:pPr>
      <w:tabs>
        <w:tab w:val="num" w:pos="1440"/>
        <w:tab w:val="left" w:pos="2495"/>
      </w:tabs>
      <w:ind w:left="1440" w:hanging="720"/>
      <w:contextualSpacing/>
    </w:pPr>
  </w:style>
  <w:style w:type="paragraph" w:customStyle="1" w:styleId="GfKNormalright">
    <w:name w:val="GfK Normal right"/>
    <w:basedOn w:val="Normal"/>
    <w:uiPriority w:val="3"/>
    <w:pPr>
      <w:tabs>
        <w:tab w:val="right" w:pos="2552"/>
      </w:tabs>
      <w:spacing w:after="0"/>
      <w:jc w:val="right"/>
    </w:pPr>
  </w:style>
  <w:style w:type="paragraph" w:customStyle="1" w:styleId="GfKDocumenttitle">
    <w:name w:val="GfK Document title"/>
    <w:basedOn w:val="Normal"/>
    <w:uiPriority w:val="99"/>
    <w:qFormat/>
    <w:pPr>
      <w:spacing w:after="0" w:line="440" w:lineRule="exact"/>
    </w:pPr>
    <w:rPr>
      <w:sz w:val="40"/>
    </w:rPr>
  </w:style>
  <w:style w:type="paragraph" w:customStyle="1" w:styleId="GfKHeadline">
    <w:name w:val="GfK Headline"/>
    <w:basedOn w:val="Normal"/>
    <w:next w:val="GfKSubheadline"/>
    <w:uiPriority w:val="2"/>
    <w:qFormat/>
    <w:pPr>
      <w:spacing w:before="280" w:after="100"/>
    </w:pPr>
    <w:rPr>
      <w:b/>
      <w:sz w:val="28"/>
    </w:rPr>
  </w:style>
  <w:style w:type="paragraph" w:customStyle="1" w:styleId="GfKSubheadline">
    <w:name w:val="GfK Subheadline"/>
    <w:basedOn w:val="Normal"/>
    <w:next w:val="GfKIntro"/>
    <w:uiPriority w:val="2"/>
    <w:qFormat/>
    <w:pPr>
      <w:keepNext/>
      <w:spacing w:after="100"/>
    </w:pPr>
    <w:rPr>
      <w:b/>
      <w:sz w:val="22"/>
    </w:rPr>
  </w:style>
  <w:style w:type="paragraph" w:customStyle="1" w:styleId="GfKIntro">
    <w:name w:val="GfK Intro"/>
    <w:basedOn w:val="Normal"/>
    <w:next w:val="Normal"/>
    <w:uiPriority w:val="3"/>
    <w:qFormat/>
    <w:rPr>
      <w:b/>
    </w:rPr>
  </w:style>
  <w:style w:type="character" w:styleId="Mencinsinresolver">
    <w:name w:val="Unresolved Mention"/>
    <w:basedOn w:val="Fuentedeprrafopredeter"/>
    <w:uiPriority w:val="99"/>
    <w:semiHidden/>
    <w:rPr>
      <w:color w:val="605E5C"/>
      <w:shd w:val="clear" w:color="auto" w:fill="E1DFDD"/>
    </w:rPr>
  </w:style>
  <w:style w:type="paragraph" w:customStyle="1" w:styleId="GfKNumberlistlevel2">
    <w:name w:val="GfK Number list level 2"/>
    <w:basedOn w:val="Normal"/>
    <w:uiPriority w:val="6"/>
    <w:qFormat/>
    <w:pPr>
      <w:tabs>
        <w:tab w:val="num" w:pos="1440"/>
        <w:tab w:val="left" w:pos="2495"/>
      </w:tabs>
      <w:ind w:left="1440" w:hanging="720"/>
      <w:contextualSpacing/>
    </w:pPr>
  </w:style>
  <w:style w:type="character" w:styleId="Refdecomentario">
    <w:name w:val="annotation reference"/>
    <w:basedOn w:val="Fuentedeprrafopredeter"/>
    <w:uiPriority w:val="99"/>
    <w:semiHidden/>
    <w:rPr>
      <w:sz w:val="16"/>
      <w:szCs w:val="16"/>
    </w:rPr>
  </w:style>
  <w:style w:type="paragraph" w:styleId="Textocomentario">
    <w:name w:val="annotation text"/>
    <w:basedOn w:val="Normal"/>
    <w:link w:val="TextocomentarioCar"/>
    <w:uiPriority w:val="99"/>
    <w:semiHidden/>
    <w:pPr>
      <w:spacing w:line="240" w:lineRule="auto"/>
    </w:pPr>
    <w:rPr>
      <w:lang w:val="de-DE"/>
    </w:rPr>
  </w:style>
  <w:style w:type="character" w:customStyle="1" w:styleId="TextocomentarioCar">
    <w:name w:val="Texto comentario Car"/>
    <w:basedOn w:val="Fuentedeprrafopredeter"/>
    <w:link w:val="Textocomentario"/>
    <w:uiPriority w:val="99"/>
    <w:semiHidden/>
  </w:style>
  <w:style w:type="paragraph" w:styleId="Asuntodelcomentario">
    <w:name w:val="annotation subject"/>
    <w:basedOn w:val="Textocomentario"/>
    <w:next w:val="Textocomentario"/>
    <w:link w:val="AsuntodelcomentarioCar"/>
    <w:uiPriority w:val="99"/>
    <w:semiHidden/>
    <w:rPr>
      <w:b/>
      <w:bCs/>
      <w:lang w:val="en-US"/>
    </w:rPr>
  </w:style>
  <w:style w:type="character" w:customStyle="1" w:styleId="AsuntodelcomentarioCar">
    <w:name w:val="Asunto del comentario Car"/>
    <w:basedOn w:val="TextocomentarioCar"/>
    <w:link w:val="Asuntodelcomentario"/>
    <w:uiPriority w:val="99"/>
    <w:semiHidden/>
    <w:rPr>
      <w:b/>
      <w:bCs/>
      <w:lang w:val="en-US"/>
    </w:rPr>
  </w:style>
  <w:style w:type="paragraph" w:styleId="Prrafodelista">
    <w:name w:val="List Paragraph"/>
    <w:basedOn w:val="Normal"/>
    <w:uiPriority w:val="34"/>
    <w:qFormat/>
    <w:pPr>
      <w:ind w:left="720"/>
      <w:contextualSpacing/>
    </w:pPr>
  </w:style>
  <w:style w:type="paragraph" w:customStyle="1" w:styleId="Paragraph">
    <w:name w:val="Paragraph"/>
    <w:basedOn w:val="Normal"/>
    <w:uiPriority w:val="99"/>
    <w:pPr>
      <w:spacing w:before="100" w:after="100" w:line="240" w:lineRule="auto"/>
    </w:pPr>
    <w:rPr>
      <w:rFonts w:ascii="Times New Roman" w:eastAsia="Times New Roman" w:hAnsi="Times New Roman" w:cs="Times New Roman"/>
      <w:color w:val="auto"/>
      <w:sz w:val="24"/>
      <w:szCs w:val="24"/>
    </w:rPr>
  </w:style>
  <w:style w:type="character" w:customStyle="1" w:styleId="Normaltextrun">
    <w:name w:val="Normaltextrun"/>
    <w:basedOn w:val="Fuentedeprrafopredeter"/>
    <w:uiPriority w:val="99"/>
  </w:style>
  <w:style w:type="character" w:customStyle="1" w:styleId="Eop">
    <w:name w:val="Eop"/>
    <w:basedOn w:val="Fuentedeprrafopredeter"/>
    <w:uiPriority w:val="99"/>
  </w:style>
  <w:style w:type="paragraph" w:styleId="Revisin">
    <w:name w:val="Revision"/>
    <w:hidden/>
    <w:uiPriority w:val="99"/>
    <w:semiHidden/>
    <w:pPr>
      <w:spacing w:after="0"/>
    </w:pPr>
  </w:style>
  <w:style w:type="character" w:styleId="Mencionar">
    <w:name w:val="Mention"/>
    <w:basedOn w:val="Fuentedeprrafopredeter"/>
    <w:uiPriority w:val="99"/>
    <w:semiHidden/>
    <w:rPr>
      <w:color w:val="2B579A"/>
      <w:shd w:val="clear" w:color="auto" w:fill="E1DFDD"/>
    </w:rPr>
  </w:style>
  <w:style w:type="paragraph" w:customStyle="1" w:styleId="Preamble">
    <w:name w:val="Preamble"/>
    <w:basedOn w:val="Normal"/>
    <w:uiPriority w:val="99"/>
    <w:qFormat/>
    <w:pPr>
      <w:widowControl w:val="0"/>
      <w:spacing w:line="280" w:lineRule="atLeast"/>
    </w:pPr>
    <w:rPr>
      <w:rFonts w:eastAsia="Times New Roman" w:cs="Times New Roman"/>
      <w:b/>
      <w:bCs/>
      <w:color w:val="auto"/>
    </w:rPr>
  </w:style>
  <w:style w:type="character" w:customStyle="1" w:styleId="Apple-converted-space">
    <w:name w:val="Apple-converted-space"/>
    <w:basedOn w:val="Fuentedeprrafopredeter"/>
    <w:uiPriority w:val="99"/>
  </w:style>
  <w:style w:type="character" w:styleId="nfasis">
    <w:name w:val="Emphasis"/>
    <w:basedOn w:val="Fuentedeprrafopredeter"/>
    <w:uiPriority w:val="20"/>
    <w:qFormat/>
    <w:rPr>
      <w:i/>
      <w:iCs/>
    </w:rPr>
  </w:style>
  <w:style w:type="character" w:customStyle="1" w:styleId="Cf01">
    <w:name w:val="Cf01"/>
    <w:basedOn w:val="Fuentedeprrafopredeter"/>
    <w:uiPriority w:val="99"/>
    <w:rPr>
      <w:rFonts w:ascii="Segoe UI" w:hAnsi="Segoe UI" w:cs="Segoe UI" w:hint="default"/>
      <w:color w:val="3B4145"/>
      <w:sz w:val="18"/>
      <w:szCs w:val="18"/>
    </w:rPr>
  </w:style>
  <w:style w:type="table" w:customStyle="1" w:styleId="A">
    <w:name w:val="A"/>
    <w:basedOn w:val="TableNormalf"/>
    <w:uiPriority w:val="99"/>
    <w:pPr>
      <w:spacing w:after="0" w:line="288" w:lineRule="auto"/>
    </w:pPr>
    <w:tblPr>
      <w:tblStyleRowBandSize w:val="1"/>
      <w:tblStyleColBandSize w:val="1"/>
      <w:tblCellMar>
        <w:top w:w="28" w:type="dxa"/>
      </w:tblCellMar>
    </w:tblPr>
  </w:style>
  <w:style w:type="paragraph" w:styleId="Subttulo">
    <w:name w:val="Subtitle"/>
    <w:basedOn w:val="Normal"/>
    <w:next w:val="Normal"/>
    <w:uiPriority w:val="11"/>
    <w:qFormat/>
    <w:pPr>
      <w:spacing w:after="0" w:line="240" w:lineRule="auto"/>
    </w:pPr>
    <w:rPr>
      <w:color w:val="A4ACB1"/>
      <w:sz w:val="46"/>
      <w:szCs w:val="46"/>
    </w:rPr>
  </w:style>
  <w:style w:type="table" w:customStyle="1" w:styleId="Table1">
    <w:name w:val="Table1"/>
    <w:basedOn w:val="TableNormalf"/>
    <w:uiPriority w:val="99"/>
    <w:pPr>
      <w:spacing w:after="0" w:line="288" w:lineRule="auto"/>
    </w:pPr>
    <w:tblPr>
      <w:tblStyleRowBandSize w:val="1"/>
      <w:tblStyleColBandSize w:val="1"/>
      <w:tblCellMar>
        <w:top w:w="28" w:type="dxa"/>
      </w:tblCellMar>
    </w:tblPr>
  </w:style>
  <w:style w:type="table" w:customStyle="1" w:styleId="a0">
    <w:basedOn w:val="TableNormalf"/>
    <w:pPr>
      <w:spacing w:after="0" w:line="288" w:lineRule="auto"/>
    </w:pPr>
    <w:tblPr>
      <w:tblStyleRowBandSize w:val="1"/>
      <w:tblStyleColBandSize w:val="1"/>
      <w:tblCellMar>
        <w:top w:w="28" w:type="dxa"/>
      </w:tblCellMar>
    </w:tblPr>
  </w:style>
  <w:style w:type="table" w:customStyle="1" w:styleId="a1">
    <w:basedOn w:val="TableNormale"/>
    <w:pPr>
      <w:spacing w:after="0" w:line="288" w:lineRule="auto"/>
    </w:pPr>
    <w:tblPr>
      <w:tblStyleRowBandSize w:val="1"/>
      <w:tblStyleColBandSize w:val="1"/>
      <w:tblCellMar>
        <w:top w:w="28" w:type="dxa"/>
      </w:tblCellMar>
    </w:tblPr>
  </w:style>
  <w:style w:type="table" w:customStyle="1" w:styleId="a2">
    <w:basedOn w:val="TableNormald"/>
    <w:pPr>
      <w:spacing w:after="0" w:line="288" w:lineRule="auto"/>
    </w:pPr>
    <w:tblPr>
      <w:tblStyleRowBandSize w:val="1"/>
      <w:tblStyleColBandSize w:val="1"/>
      <w:tblCellMar>
        <w:top w:w="28" w:type="dxa"/>
      </w:tblCellMar>
    </w:tblPr>
  </w:style>
  <w:style w:type="table" w:customStyle="1" w:styleId="a3">
    <w:basedOn w:val="TableNormald"/>
    <w:pPr>
      <w:spacing w:after="0" w:line="288" w:lineRule="auto"/>
    </w:pPr>
    <w:tblPr>
      <w:tblStyleRowBandSize w:val="1"/>
      <w:tblStyleColBandSize w:val="1"/>
      <w:tblCellMar>
        <w:top w:w="28" w:type="dxa"/>
      </w:tblCellMar>
    </w:tblPr>
  </w:style>
  <w:style w:type="table" w:customStyle="1" w:styleId="a4">
    <w:basedOn w:val="TableNormald"/>
    <w:pPr>
      <w:spacing w:after="0" w:line="288" w:lineRule="auto"/>
    </w:pPr>
    <w:tblPr>
      <w:tblStyleRowBandSize w:val="1"/>
      <w:tblStyleColBandSize w:val="1"/>
      <w:tblCellMar>
        <w:top w:w="28" w:type="dxa"/>
      </w:tblCellMar>
    </w:tblPr>
  </w:style>
  <w:style w:type="table" w:customStyle="1" w:styleId="a5">
    <w:basedOn w:val="TableNormala"/>
    <w:pPr>
      <w:spacing w:after="0" w:line="288" w:lineRule="auto"/>
    </w:pPr>
    <w:tblPr>
      <w:tblStyleRowBandSize w:val="1"/>
      <w:tblStyleColBandSize w:val="1"/>
      <w:tblCellMar>
        <w:top w:w="28" w:type="dxa"/>
      </w:tblCellMar>
    </w:tblPr>
  </w:style>
  <w:style w:type="table" w:customStyle="1" w:styleId="a6">
    <w:basedOn w:val="TableNormala"/>
    <w:pPr>
      <w:spacing w:after="0" w:line="288" w:lineRule="auto"/>
    </w:pPr>
    <w:tblPr>
      <w:tblStyleRowBandSize w:val="1"/>
      <w:tblStyleColBandSize w:val="1"/>
      <w:tblCellMar>
        <w:top w:w="28" w:type="dxa"/>
      </w:tblCellMar>
    </w:tblPr>
  </w:style>
  <w:style w:type="table" w:customStyle="1" w:styleId="a7">
    <w:basedOn w:val="TableNormal8"/>
    <w:pPr>
      <w:spacing w:after="0" w:line="288" w:lineRule="auto"/>
    </w:pPr>
    <w:tblPr>
      <w:tblStyleRowBandSize w:val="1"/>
      <w:tblStyleColBandSize w:val="1"/>
      <w:tblCellMar>
        <w:top w:w="28" w:type="dxa"/>
      </w:tblCellMar>
    </w:tblPr>
  </w:style>
  <w:style w:type="table" w:customStyle="1" w:styleId="a8">
    <w:basedOn w:val="TableNormal8"/>
    <w:pPr>
      <w:spacing w:after="0" w:line="288" w:lineRule="auto"/>
    </w:pPr>
    <w:tblPr>
      <w:tblStyleRowBandSize w:val="1"/>
      <w:tblStyleColBandSize w:val="1"/>
      <w:tblCellMar>
        <w:top w:w="28" w:type="dxa"/>
      </w:tblCellMar>
    </w:tblPr>
  </w:style>
  <w:style w:type="table" w:customStyle="1" w:styleId="a9">
    <w:basedOn w:val="TableNormal8"/>
    <w:pPr>
      <w:spacing w:after="0" w:line="288" w:lineRule="auto"/>
    </w:pPr>
    <w:tblPr>
      <w:tblStyleRowBandSize w:val="1"/>
      <w:tblStyleColBandSize w:val="1"/>
      <w:tblCellMar>
        <w:top w:w="28" w:type="dxa"/>
      </w:tblCellMar>
    </w:tblPr>
  </w:style>
  <w:style w:type="table" w:customStyle="1" w:styleId="aa">
    <w:basedOn w:val="TableNormal8"/>
    <w:pPr>
      <w:spacing w:after="0" w:line="288" w:lineRule="auto"/>
    </w:pPr>
    <w:tblPr>
      <w:tblStyleRowBandSize w:val="1"/>
      <w:tblStyleColBandSize w:val="1"/>
      <w:tblCellMar>
        <w:top w:w="28" w:type="dxa"/>
      </w:tblCellMar>
    </w:tblPr>
  </w:style>
  <w:style w:type="table" w:customStyle="1" w:styleId="ab">
    <w:basedOn w:val="TableNormal8"/>
    <w:pPr>
      <w:spacing w:after="0" w:line="288" w:lineRule="auto"/>
    </w:pPr>
    <w:tblPr>
      <w:tblStyleRowBandSize w:val="1"/>
      <w:tblStyleColBandSize w:val="1"/>
      <w:tblCellMar>
        <w:top w:w="28" w:type="dxa"/>
      </w:tblCellMar>
    </w:tblPr>
  </w:style>
  <w:style w:type="table" w:customStyle="1" w:styleId="ac">
    <w:basedOn w:val="TableNormal3"/>
    <w:pPr>
      <w:spacing w:after="0" w:line="288" w:lineRule="auto"/>
    </w:pPr>
    <w:tblPr>
      <w:tblStyleRowBandSize w:val="1"/>
      <w:tblStyleColBandSize w:val="1"/>
      <w:tblCellMar>
        <w:top w:w="28" w:type="dxa"/>
      </w:tblCellMar>
    </w:tblPr>
  </w:style>
  <w:style w:type="table" w:customStyle="1" w:styleId="ad">
    <w:basedOn w:val="TableNormal2"/>
    <w:pPr>
      <w:spacing w:after="0" w:line="288" w:lineRule="auto"/>
    </w:pPr>
    <w:tblPr>
      <w:tblStyleRowBandSize w:val="1"/>
      <w:tblStyleColBandSize w:val="1"/>
      <w:tblCellMar>
        <w:top w:w="28" w:type="dxa"/>
      </w:tblCellMar>
    </w:tblPr>
  </w:style>
  <w:style w:type="table" w:customStyle="1" w:styleId="ae">
    <w:basedOn w:val="TableNormal2"/>
    <w:pPr>
      <w:spacing w:after="0" w:line="288" w:lineRule="auto"/>
    </w:pPr>
    <w:tblPr>
      <w:tblStyleRowBandSize w:val="1"/>
      <w:tblStyleColBandSize w:val="1"/>
      <w:tblCellMar>
        <w:top w:w="28" w:type="dxa"/>
      </w:tblCellMar>
    </w:tblPr>
  </w:style>
  <w:style w:type="table" w:customStyle="1" w:styleId="af">
    <w:basedOn w:val="TableNormal0"/>
    <w:pPr>
      <w:spacing w:after="0" w:line="288" w:lineRule="auto"/>
    </w:pPr>
    <w:tblPr>
      <w:tblStyleRowBandSize w:val="1"/>
      <w:tblStyleColBandSize w:val="1"/>
      <w:tblCellMar>
        <w:top w:w="2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gfk-media-measurement.com/es/productos/gfk-digital-audience-measurement"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mtorres@prgarage.es" TargetMode="Externa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nielseniq.com/global/en/landing-page/the-full-view-of-consumer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GfK">
  <a:themeElements>
    <a:clrScheme name="GfK">
      <a:dk1>
        <a:srgbClr val="3B4145"/>
      </a:dk1>
      <a:lt1>
        <a:srgbClr val="FFFFFF"/>
      </a:lt1>
      <a:dk2>
        <a:srgbClr val="EA5B0C"/>
      </a:dk2>
      <a:lt2>
        <a:srgbClr val="000000"/>
      </a:lt2>
      <a:accent1>
        <a:srgbClr val="6A757C"/>
      </a:accent1>
      <a:accent2>
        <a:srgbClr val="4368BD"/>
      </a:accent2>
      <a:accent3>
        <a:srgbClr val="4B9A91"/>
      </a:accent3>
      <a:accent4>
        <a:srgbClr val="FFA52F"/>
      </a:accent4>
      <a:accent5>
        <a:srgbClr val="D2335F"/>
      </a:accent5>
      <a:accent6>
        <a:srgbClr val="7B4DB3"/>
      </a:accent6>
      <a:hlink>
        <a:srgbClr val="EA5B0C"/>
      </a:hlink>
      <a:folHlink>
        <a:srgbClr val="6A757C"/>
      </a:folHlink>
    </a:clrScheme>
    <a:fontScheme name="GfK Arial">
      <a:majorFont>
        <a:latin typeface="Arial"/>
        <a:ea typeface=""/>
        <a:cs typeface=""/>
        <a:font script="Arab" typeface="Times New Roman"/>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Light"/>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Light"/>
        <a:font script="Olck" typeface="Nirmala UI"/>
        <a:font script="Lisu" typeface="Segoe UI"/>
        <a:font script="Sora" typeface="Nirmala UI"/>
      </a:majorFont>
      <a:minorFont>
        <a:latin typeface="Arial"/>
        <a:ea typeface=""/>
        <a:cs typeface=""/>
        <a:font script="Arab" typeface="Arial"/>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a:font script="Olck" typeface="Nirmala UI"/>
        <a:font script="Lisu" typeface="Segoe UI"/>
        <a:font script="Sora" typeface="Nirmala U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6iXvwmukzwzS9pT3OGWZ08U3zw==">CgMxLjA4AHIhMVpTWXZjb2xfU3ZmWTFsVFZaaFRBZHJOSk1UdWdSZ1FU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7</Pages>
  <Words>1604</Words>
  <Characters>8828</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Boehm, EvaMaria (GfK)</dc:creator>
  <cp:lastModifiedBy>Lidia Banos</cp:lastModifiedBy>
  <cp:revision>5</cp:revision>
  <dcterms:created xsi:type="dcterms:W3CDTF">2024-12-12T12:22:00Z</dcterms:created>
  <dcterms:modified xsi:type="dcterms:W3CDTF">2024-12-16T16:36:00Z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0x0101005CF2A0B3205640429512C8A5485ABFD4</vt:lpwstr>
  </property>
  <property fmtid="{D5CDD505-2E9C-101B-9397-08002B2CF9AE}" pid="3" name="MediaServiceImageTags">
    <vt:lpwstr>MediaServiceImageTags</vt:lpwstr>
  </property>
</Properties>
</file>